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F7F6" w14:textId="06DD61C5" w:rsidR="00536B44" w:rsidRPr="00DB47A1" w:rsidRDefault="00E858CC" w:rsidP="005C3D51">
      <w:pPr>
        <w:pStyle w:val="Heading1"/>
        <w:rPr>
          <w:rFonts w:ascii="Arial" w:hAnsi="Arial" w:cs="Arial"/>
        </w:rPr>
      </w:pPr>
      <w:r w:rsidRPr="00DB47A1">
        <w:rPr>
          <w:rFonts w:ascii="Arial" w:hAnsi="Arial" w:cs="Arial"/>
        </w:rPr>
        <w:t>Submission</w:t>
      </w:r>
      <w:r w:rsidR="00AB6AE7" w:rsidRPr="00DB47A1">
        <w:rPr>
          <w:rFonts w:ascii="Arial" w:hAnsi="Arial" w:cs="Arial"/>
        </w:rPr>
        <w:t xml:space="preserve"> </w:t>
      </w:r>
      <w:r w:rsidR="00536B44" w:rsidRPr="00DB47A1">
        <w:rPr>
          <w:rFonts w:ascii="Arial" w:hAnsi="Arial" w:cs="Arial"/>
        </w:rPr>
        <w:t>to the Department of Justice</w:t>
      </w:r>
      <w:r w:rsidR="009C59C3" w:rsidRPr="00DB47A1">
        <w:rPr>
          <w:rFonts w:ascii="Arial" w:hAnsi="Arial" w:cs="Arial"/>
        </w:rPr>
        <w:t xml:space="preserve">’s </w:t>
      </w:r>
      <w:r w:rsidR="00AB6AE7" w:rsidRPr="00DB47A1">
        <w:rPr>
          <w:rFonts w:ascii="Arial" w:hAnsi="Arial" w:cs="Arial"/>
        </w:rPr>
        <w:t xml:space="preserve">Review of Part 4 of the </w:t>
      </w:r>
      <w:r w:rsidR="00AB6AE7" w:rsidRPr="00DB47A1">
        <w:rPr>
          <w:rFonts w:ascii="Arial" w:hAnsi="Arial" w:cs="Arial"/>
          <w:i/>
          <w:iCs/>
        </w:rPr>
        <w:t>Sexual Offences Act 2017</w:t>
      </w:r>
    </w:p>
    <w:p w14:paraId="24CBB01D" w14:textId="352FFFC2" w:rsidR="00CE43F9" w:rsidRPr="00DB47A1" w:rsidRDefault="00CE43F9" w:rsidP="00CE43F9">
      <w:pPr>
        <w:rPr>
          <w:rFonts w:ascii="Arial" w:hAnsi="Arial" w:cs="Arial"/>
        </w:rPr>
      </w:pPr>
    </w:p>
    <w:p w14:paraId="7BD01DDA" w14:textId="08650A9E" w:rsidR="00571CCD" w:rsidRPr="00DB47A1" w:rsidRDefault="00571CCD" w:rsidP="005C3D51">
      <w:pPr>
        <w:pStyle w:val="Heading2"/>
        <w:rPr>
          <w:rFonts w:ascii="Arial" w:hAnsi="Arial" w:cs="Arial"/>
        </w:rPr>
      </w:pPr>
      <w:r w:rsidRPr="00DB47A1">
        <w:rPr>
          <w:rFonts w:ascii="Arial" w:hAnsi="Arial" w:cs="Arial"/>
        </w:rPr>
        <w:t xml:space="preserve">Introduction </w:t>
      </w:r>
    </w:p>
    <w:p w14:paraId="06C78E4F" w14:textId="0C501670" w:rsidR="007F50AA" w:rsidRPr="00DB47A1" w:rsidRDefault="00C439FE" w:rsidP="00CE43F9">
      <w:pPr>
        <w:rPr>
          <w:rFonts w:ascii="Arial" w:hAnsi="Arial" w:cs="Arial"/>
        </w:rPr>
      </w:pPr>
      <w:r w:rsidRPr="00DB47A1">
        <w:rPr>
          <w:rFonts w:ascii="Arial" w:hAnsi="Arial" w:cs="Arial"/>
        </w:rPr>
        <w:t xml:space="preserve">We welcome this opportunity to contribute to the Department’s review of Part 4 of the </w:t>
      </w:r>
      <w:r w:rsidRPr="00DB47A1">
        <w:rPr>
          <w:rFonts w:ascii="Arial" w:hAnsi="Arial" w:cs="Arial"/>
          <w:i/>
          <w:iCs/>
        </w:rPr>
        <w:t>Sexual Offences Act 2017</w:t>
      </w:r>
      <w:r w:rsidRPr="00DB47A1">
        <w:rPr>
          <w:rFonts w:ascii="Arial" w:hAnsi="Arial" w:cs="Arial"/>
        </w:rPr>
        <w:t xml:space="preserve">.  </w:t>
      </w:r>
      <w:r w:rsidR="007F50AA" w:rsidRPr="00DB47A1">
        <w:rPr>
          <w:rFonts w:ascii="Arial" w:hAnsi="Arial" w:cs="Arial"/>
        </w:rPr>
        <w:t xml:space="preserve">We are a </w:t>
      </w:r>
      <w:r w:rsidR="00EF7557" w:rsidRPr="00DB47A1">
        <w:rPr>
          <w:rFonts w:ascii="Arial" w:hAnsi="Arial" w:cs="Arial"/>
        </w:rPr>
        <w:t>diverse group of academics who bring our collective knowledge, experience and expertise to be</w:t>
      </w:r>
      <w:r w:rsidR="002E391B" w:rsidRPr="00DB47A1">
        <w:rPr>
          <w:rFonts w:ascii="Arial" w:hAnsi="Arial" w:cs="Arial"/>
        </w:rPr>
        <w:t>ar</w:t>
      </w:r>
      <w:r w:rsidR="00EF7557" w:rsidRPr="00DB47A1">
        <w:rPr>
          <w:rFonts w:ascii="Arial" w:hAnsi="Arial" w:cs="Arial"/>
        </w:rPr>
        <w:t xml:space="preserve"> on the topic: we comprise lawyers, sociologists, criminologists, historians, economists, medics, nurses, </w:t>
      </w:r>
      <w:r w:rsidR="007466BE" w:rsidRPr="00DB47A1">
        <w:rPr>
          <w:rFonts w:ascii="Arial" w:hAnsi="Arial" w:cs="Arial"/>
        </w:rPr>
        <w:t>psychologists, media studies scholars and more.</w:t>
      </w:r>
      <w:r w:rsidR="00AF6D92" w:rsidRPr="00DB47A1">
        <w:rPr>
          <w:rFonts w:ascii="Arial" w:hAnsi="Arial" w:cs="Arial"/>
        </w:rPr>
        <w:t xml:space="preserve"> Our pers</w:t>
      </w:r>
      <w:r w:rsidR="00141A66" w:rsidRPr="00DB47A1">
        <w:rPr>
          <w:rFonts w:ascii="Arial" w:hAnsi="Arial" w:cs="Arial"/>
        </w:rPr>
        <w:t>pectives, views and conclusions are based on our collective knowledge and understanding of the issue and the context.</w:t>
      </w:r>
    </w:p>
    <w:p w14:paraId="7BBE08DB" w14:textId="1AB0AC1D" w:rsidR="00F860D5" w:rsidRPr="00DB47A1" w:rsidRDefault="005A05BC" w:rsidP="00CE43F9">
      <w:pPr>
        <w:rPr>
          <w:rFonts w:ascii="Arial" w:hAnsi="Arial" w:cs="Arial"/>
        </w:rPr>
      </w:pPr>
      <w:r w:rsidRPr="00DB47A1">
        <w:rPr>
          <w:rFonts w:ascii="Arial" w:hAnsi="Arial" w:cs="Arial"/>
        </w:rPr>
        <w:t xml:space="preserve">The 2017 Act contained a package of measures </w:t>
      </w:r>
      <w:r w:rsidR="00DD3D8A" w:rsidRPr="00DB47A1">
        <w:rPr>
          <w:rFonts w:ascii="Arial" w:hAnsi="Arial" w:cs="Arial"/>
        </w:rPr>
        <w:t xml:space="preserve">aimed </w:t>
      </w:r>
      <w:r w:rsidR="009C59C3" w:rsidRPr="00DB47A1">
        <w:rPr>
          <w:rFonts w:ascii="Arial" w:hAnsi="Arial" w:cs="Arial"/>
        </w:rPr>
        <w:t>at tackling</w:t>
      </w:r>
      <w:r w:rsidR="00DD3D8A" w:rsidRPr="00DB47A1">
        <w:rPr>
          <w:rFonts w:ascii="Arial" w:hAnsi="Arial" w:cs="Arial"/>
        </w:rPr>
        <w:t xml:space="preserve"> </w:t>
      </w:r>
      <w:r w:rsidR="009C59C3" w:rsidRPr="00DB47A1">
        <w:rPr>
          <w:rFonts w:ascii="Arial" w:hAnsi="Arial" w:cs="Arial"/>
        </w:rPr>
        <w:t xml:space="preserve">various forms of </w:t>
      </w:r>
      <w:r w:rsidR="00DD3D8A" w:rsidRPr="00DB47A1">
        <w:rPr>
          <w:rFonts w:ascii="Arial" w:hAnsi="Arial" w:cs="Arial"/>
        </w:rPr>
        <w:t>sexual violence</w:t>
      </w:r>
      <w:r w:rsidR="00D83858" w:rsidRPr="00DB47A1">
        <w:rPr>
          <w:rFonts w:ascii="Arial" w:hAnsi="Arial" w:cs="Arial"/>
        </w:rPr>
        <w:t>.</w:t>
      </w:r>
      <w:r w:rsidR="00E85C56" w:rsidRPr="00DB47A1">
        <w:rPr>
          <w:rFonts w:ascii="Arial" w:hAnsi="Arial" w:cs="Arial"/>
        </w:rPr>
        <w:t xml:space="preserve"> </w:t>
      </w:r>
      <w:r w:rsidR="00351A30" w:rsidRPr="00DB47A1">
        <w:rPr>
          <w:rFonts w:ascii="Arial" w:hAnsi="Arial" w:cs="Arial"/>
        </w:rPr>
        <w:t>Many of these were progressive a</w:t>
      </w:r>
      <w:r w:rsidR="00F5035D" w:rsidRPr="00DB47A1">
        <w:rPr>
          <w:rFonts w:ascii="Arial" w:hAnsi="Arial" w:cs="Arial"/>
        </w:rPr>
        <w:t xml:space="preserve">nd marked a move towards a more equal Ireland. </w:t>
      </w:r>
      <w:r w:rsidR="00E85C56" w:rsidRPr="00DB47A1">
        <w:rPr>
          <w:rFonts w:ascii="Arial" w:hAnsi="Arial" w:cs="Arial"/>
        </w:rPr>
        <w:t xml:space="preserve">For example, </w:t>
      </w:r>
      <w:r w:rsidR="00F5035D" w:rsidRPr="00DB47A1">
        <w:rPr>
          <w:rFonts w:ascii="Arial" w:hAnsi="Arial" w:cs="Arial"/>
        </w:rPr>
        <w:t>the Act</w:t>
      </w:r>
      <w:r w:rsidR="00D83858" w:rsidRPr="00DB47A1">
        <w:rPr>
          <w:rFonts w:ascii="Arial" w:hAnsi="Arial" w:cs="Arial"/>
        </w:rPr>
        <w:t xml:space="preserve"> is renowned for creating </w:t>
      </w:r>
      <w:r w:rsidR="00351A30" w:rsidRPr="00DB47A1">
        <w:rPr>
          <w:rFonts w:ascii="Arial" w:hAnsi="Arial" w:cs="Arial"/>
        </w:rPr>
        <w:t>the first</w:t>
      </w:r>
      <w:r w:rsidR="00D83858" w:rsidRPr="00DB47A1">
        <w:rPr>
          <w:rFonts w:ascii="Arial" w:hAnsi="Arial" w:cs="Arial"/>
        </w:rPr>
        <w:t xml:space="preserve"> statutory definition of consent </w:t>
      </w:r>
      <w:r w:rsidR="00E85C56" w:rsidRPr="00DB47A1">
        <w:rPr>
          <w:rFonts w:ascii="Arial" w:hAnsi="Arial" w:cs="Arial"/>
        </w:rPr>
        <w:t>to a sexual act</w:t>
      </w:r>
      <w:r w:rsidR="00D83858" w:rsidRPr="00DB47A1">
        <w:rPr>
          <w:rFonts w:ascii="Arial" w:hAnsi="Arial" w:cs="Arial"/>
        </w:rPr>
        <w:t>.</w:t>
      </w:r>
      <w:r w:rsidR="00701456" w:rsidRPr="00DB47A1">
        <w:rPr>
          <w:rStyle w:val="FootnoteReference"/>
          <w:rFonts w:ascii="Arial" w:hAnsi="Arial" w:cs="Arial"/>
        </w:rPr>
        <w:footnoteReference w:id="1"/>
      </w:r>
      <w:r w:rsidR="00D83858" w:rsidRPr="00DB47A1">
        <w:rPr>
          <w:rFonts w:ascii="Arial" w:hAnsi="Arial" w:cs="Arial"/>
        </w:rPr>
        <w:t xml:space="preserve"> </w:t>
      </w:r>
      <w:r w:rsidR="00E85C56" w:rsidRPr="00DB47A1">
        <w:rPr>
          <w:rFonts w:ascii="Arial" w:hAnsi="Arial" w:cs="Arial"/>
        </w:rPr>
        <w:t xml:space="preserve"> Part 4 of the Act deals with </w:t>
      </w:r>
      <w:r w:rsidR="008412A7" w:rsidRPr="00DB47A1">
        <w:rPr>
          <w:rFonts w:ascii="Arial" w:hAnsi="Arial" w:cs="Arial"/>
        </w:rPr>
        <w:t xml:space="preserve">the purchase of sexual services. </w:t>
      </w:r>
      <w:r w:rsidR="00CC3357" w:rsidRPr="00DB47A1">
        <w:rPr>
          <w:rFonts w:ascii="Arial" w:hAnsi="Arial" w:cs="Arial"/>
        </w:rPr>
        <w:t>In this submission we argue that there are a number of fundamental flaws with Part 4 that mean it should be repealed</w:t>
      </w:r>
      <w:r w:rsidR="00F860D5" w:rsidRPr="00DB47A1">
        <w:rPr>
          <w:rFonts w:ascii="Arial" w:hAnsi="Arial" w:cs="Arial"/>
        </w:rPr>
        <w:t xml:space="preserve">. </w:t>
      </w:r>
      <w:r w:rsidR="000E5E41" w:rsidRPr="00DB47A1">
        <w:rPr>
          <w:rFonts w:ascii="Arial" w:hAnsi="Arial" w:cs="Arial"/>
        </w:rPr>
        <w:t>T</w:t>
      </w:r>
      <w:r w:rsidR="00F860D5" w:rsidRPr="00DB47A1">
        <w:rPr>
          <w:rFonts w:ascii="Arial" w:hAnsi="Arial" w:cs="Arial"/>
        </w:rPr>
        <w:t xml:space="preserve">he current law makes sex work </w:t>
      </w:r>
      <w:r w:rsidR="00A804EF" w:rsidRPr="00DB47A1">
        <w:rPr>
          <w:rFonts w:ascii="Arial" w:hAnsi="Arial" w:cs="Arial"/>
        </w:rPr>
        <w:t xml:space="preserve">more </w:t>
      </w:r>
      <w:r w:rsidR="00802BA7" w:rsidRPr="00DB47A1">
        <w:rPr>
          <w:rFonts w:ascii="Arial" w:hAnsi="Arial" w:cs="Arial"/>
        </w:rPr>
        <w:t>dangerous. It increases sex workers’ vulnerability</w:t>
      </w:r>
      <w:r w:rsidR="00F860D5" w:rsidRPr="00DB47A1">
        <w:rPr>
          <w:rFonts w:ascii="Arial" w:hAnsi="Arial" w:cs="Arial"/>
        </w:rPr>
        <w:t xml:space="preserve"> to</w:t>
      </w:r>
      <w:r w:rsidR="00CC2946" w:rsidRPr="00DB47A1">
        <w:rPr>
          <w:rFonts w:ascii="Arial" w:hAnsi="Arial" w:cs="Arial"/>
        </w:rPr>
        <w:t xml:space="preserve"> sexual violence, assaults, coercion, and financial </w:t>
      </w:r>
      <w:r w:rsidR="00CA4E5D" w:rsidRPr="00DB47A1">
        <w:rPr>
          <w:rFonts w:ascii="Arial" w:hAnsi="Arial" w:cs="Arial"/>
        </w:rPr>
        <w:t>abuse</w:t>
      </w:r>
      <w:r w:rsidR="00A804EF" w:rsidRPr="00DB47A1">
        <w:rPr>
          <w:rFonts w:ascii="Arial" w:hAnsi="Arial" w:cs="Arial"/>
        </w:rPr>
        <w:t xml:space="preserve">, and makes it more difficult for </w:t>
      </w:r>
      <w:r w:rsidR="00802BA7" w:rsidRPr="00DB47A1">
        <w:rPr>
          <w:rFonts w:ascii="Arial" w:hAnsi="Arial" w:cs="Arial"/>
        </w:rPr>
        <w:t xml:space="preserve">them to seek protection from the </w:t>
      </w:r>
      <w:proofErr w:type="spellStart"/>
      <w:r w:rsidR="0004221C" w:rsidRPr="00DB47A1">
        <w:rPr>
          <w:rFonts w:ascii="Arial" w:hAnsi="Arial" w:cs="Arial"/>
        </w:rPr>
        <w:t>garda</w:t>
      </w:r>
      <w:r w:rsidR="00B35E0E" w:rsidRPr="00DB47A1">
        <w:rPr>
          <w:rFonts w:ascii="Arial" w:hAnsi="Arial" w:cs="Arial"/>
        </w:rPr>
        <w:t>í</w:t>
      </w:r>
      <w:proofErr w:type="spellEnd"/>
      <w:r w:rsidR="0004221C" w:rsidRPr="00DB47A1">
        <w:rPr>
          <w:rFonts w:ascii="Arial" w:hAnsi="Arial" w:cs="Arial"/>
        </w:rPr>
        <w:t xml:space="preserve"> and the courts for assaults committed against them. </w:t>
      </w:r>
    </w:p>
    <w:p w14:paraId="61119616" w14:textId="545F2770" w:rsidR="00CE43F9" w:rsidRPr="00DB47A1" w:rsidRDefault="0004221C">
      <w:pPr>
        <w:rPr>
          <w:rFonts w:ascii="Arial" w:hAnsi="Arial" w:cs="Arial"/>
        </w:rPr>
      </w:pPr>
      <w:r w:rsidRPr="00DB47A1">
        <w:rPr>
          <w:rFonts w:ascii="Arial" w:hAnsi="Arial" w:cs="Arial"/>
        </w:rPr>
        <w:t xml:space="preserve">We argue that the legal framework around sex work must be aimed at harm reduction. </w:t>
      </w:r>
      <w:r w:rsidR="00D77871" w:rsidRPr="00DB47A1">
        <w:rPr>
          <w:rFonts w:ascii="Arial" w:hAnsi="Arial" w:cs="Arial"/>
        </w:rPr>
        <w:t>We argue that the laws and regulations relating to the sale and purchase and org</w:t>
      </w:r>
      <w:r w:rsidR="00F860D5" w:rsidRPr="00DB47A1">
        <w:rPr>
          <w:rFonts w:ascii="Arial" w:hAnsi="Arial" w:cs="Arial"/>
        </w:rPr>
        <w:t>a</w:t>
      </w:r>
      <w:r w:rsidR="00D77871" w:rsidRPr="00DB47A1">
        <w:rPr>
          <w:rFonts w:ascii="Arial" w:hAnsi="Arial" w:cs="Arial"/>
        </w:rPr>
        <w:t xml:space="preserve">nisation of sex work should be </w:t>
      </w:r>
      <w:r w:rsidR="00F860D5" w:rsidRPr="00DB47A1">
        <w:rPr>
          <w:rFonts w:ascii="Arial" w:hAnsi="Arial" w:cs="Arial"/>
        </w:rPr>
        <w:t>repealed</w:t>
      </w:r>
      <w:r w:rsidR="00185253" w:rsidRPr="00DB47A1">
        <w:rPr>
          <w:rFonts w:ascii="Arial" w:hAnsi="Arial" w:cs="Arial"/>
        </w:rPr>
        <w:t xml:space="preserve"> in order to achieve that objective</w:t>
      </w:r>
      <w:r w:rsidR="00F860D5" w:rsidRPr="00DB47A1">
        <w:rPr>
          <w:rFonts w:ascii="Arial" w:hAnsi="Arial" w:cs="Arial"/>
        </w:rPr>
        <w:t xml:space="preserve">. </w:t>
      </w:r>
    </w:p>
    <w:p w14:paraId="73A1A233" w14:textId="36D3D335" w:rsidR="00CE43F9" w:rsidRPr="00DB47A1" w:rsidRDefault="00F957AC">
      <w:pPr>
        <w:rPr>
          <w:rFonts w:ascii="Arial" w:hAnsi="Arial" w:cs="Arial"/>
        </w:rPr>
      </w:pPr>
      <w:r w:rsidRPr="00DB47A1">
        <w:rPr>
          <w:rFonts w:ascii="Arial" w:hAnsi="Arial" w:cs="Arial"/>
        </w:rPr>
        <w:t>Providing an effective policy and legal response is essential</w:t>
      </w:r>
      <w:r w:rsidR="0059111E" w:rsidRPr="00DB47A1">
        <w:rPr>
          <w:rFonts w:ascii="Arial" w:hAnsi="Arial" w:cs="Arial"/>
        </w:rPr>
        <w:t>.</w:t>
      </w:r>
      <w:r w:rsidR="00094155" w:rsidRPr="00DB47A1">
        <w:rPr>
          <w:rFonts w:ascii="Arial" w:hAnsi="Arial" w:cs="Arial"/>
        </w:rPr>
        <w:t xml:space="preserve"> </w:t>
      </w:r>
      <w:r w:rsidRPr="00DB47A1">
        <w:rPr>
          <w:rFonts w:ascii="Arial" w:hAnsi="Arial" w:cs="Arial"/>
        </w:rPr>
        <w:t>While numbers are difficult to come by, Ugly Mugs indicate that 6-7</w:t>
      </w:r>
      <w:r w:rsidR="0059111E" w:rsidRPr="00DB47A1">
        <w:rPr>
          <w:rFonts w:ascii="Arial" w:hAnsi="Arial" w:cs="Arial"/>
        </w:rPr>
        <w:t>,</w:t>
      </w:r>
      <w:r w:rsidRPr="00DB47A1">
        <w:rPr>
          <w:rFonts w:ascii="Arial" w:hAnsi="Arial" w:cs="Arial"/>
        </w:rPr>
        <w:t xml:space="preserve">000 sex workers interact with their services annually across the whole island. Many sex workers may not be members of Ugly Mugs, so this is most likely an underestimate. The number of people </w:t>
      </w:r>
      <w:r w:rsidR="008605BD" w:rsidRPr="00DB47A1">
        <w:rPr>
          <w:rFonts w:ascii="Arial" w:hAnsi="Arial" w:cs="Arial"/>
        </w:rPr>
        <w:t xml:space="preserve">affected by the legal and policy response </w:t>
      </w:r>
      <w:r w:rsidRPr="00DB47A1">
        <w:rPr>
          <w:rFonts w:ascii="Arial" w:hAnsi="Arial" w:cs="Arial"/>
        </w:rPr>
        <w:t>is, therefore, not insignificant</w:t>
      </w:r>
      <w:r w:rsidR="00094155" w:rsidRPr="00DB47A1">
        <w:rPr>
          <w:rFonts w:ascii="Arial" w:hAnsi="Arial" w:cs="Arial"/>
        </w:rPr>
        <w:t xml:space="preserve">.  </w:t>
      </w:r>
      <w:r w:rsidRPr="00DB47A1">
        <w:rPr>
          <w:rFonts w:ascii="Arial" w:hAnsi="Arial" w:cs="Arial"/>
        </w:rPr>
        <w:t>As feminist lawyers we are deeply aware of the gendered nature of much sex work and its harmful effects on many women and girls.  We are also aware that sex workers are not a homogenous group</w:t>
      </w:r>
      <w:r w:rsidR="00D84F7B" w:rsidRPr="00DB47A1">
        <w:rPr>
          <w:rFonts w:ascii="Arial" w:hAnsi="Arial" w:cs="Arial"/>
        </w:rPr>
        <w:t>;</w:t>
      </w:r>
      <w:r w:rsidRPr="00DB47A1">
        <w:rPr>
          <w:rFonts w:ascii="Arial" w:hAnsi="Arial" w:cs="Arial"/>
        </w:rPr>
        <w:t xml:space="preserve"> men, boys, trans, queer and intersex people are sex workers</w:t>
      </w:r>
      <w:r w:rsidR="00D84F7B" w:rsidRPr="00DB47A1">
        <w:rPr>
          <w:rFonts w:ascii="Arial" w:hAnsi="Arial" w:cs="Arial"/>
        </w:rPr>
        <w:t>; and</w:t>
      </w:r>
      <w:r w:rsidR="005C1C34" w:rsidRPr="00DB47A1">
        <w:rPr>
          <w:rFonts w:ascii="Arial" w:hAnsi="Arial" w:cs="Arial"/>
        </w:rPr>
        <w:t xml:space="preserve"> t</w:t>
      </w:r>
      <w:r w:rsidR="00496CDA" w:rsidRPr="00DB47A1">
        <w:rPr>
          <w:rFonts w:ascii="Arial" w:hAnsi="Arial" w:cs="Arial"/>
        </w:rPr>
        <w:t>hat people have different reasons for engaging in sex work</w:t>
      </w:r>
      <w:r w:rsidRPr="00DB47A1">
        <w:rPr>
          <w:rFonts w:ascii="Arial" w:hAnsi="Arial" w:cs="Arial"/>
        </w:rPr>
        <w:t>.  Devising a singular policy response is very difficult.   We argue that</w:t>
      </w:r>
      <w:r w:rsidR="008F730D" w:rsidRPr="00DB47A1">
        <w:rPr>
          <w:rFonts w:ascii="Arial" w:hAnsi="Arial" w:cs="Arial"/>
        </w:rPr>
        <w:t xml:space="preserve"> this review and</w:t>
      </w:r>
      <w:r w:rsidRPr="00DB47A1">
        <w:rPr>
          <w:rFonts w:ascii="Arial" w:hAnsi="Arial" w:cs="Arial"/>
        </w:rPr>
        <w:t xml:space="preserve"> the Department should engage in extensive sensitive engagement with sex workers in order to hear in more detail </w:t>
      </w:r>
      <w:r w:rsidR="0002084E" w:rsidRPr="00DB47A1">
        <w:rPr>
          <w:rFonts w:ascii="Arial" w:hAnsi="Arial" w:cs="Arial"/>
        </w:rPr>
        <w:t xml:space="preserve">from them </w:t>
      </w:r>
      <w:r w:rsidRPr="00DB47A1">
        <w:rPr>
          <w:rFonts w:ascii="Arial" w:hAnsi="Arial" w:cs="Arial"/>
        </w:rPr>
        <w:t xml:space="preserve">about how the law can better protect them. </w:t>
      </w:r>
    </w:p>
    <w:p w14:paraId="6B4B7ABD" w14:textId="339F571A" w:rsidR="004645CA" w:rsidRPr="00DB47A1" w:rsidRDefault="00546099">
      <w:pPr>
        <w:rPr>
          <w:rFonts w:ascii="Arial" w:hAnsi="Arial" w:cs="Arial"/>
        </w:rPr>
      </w:pPr>
      <w:r w:rsidRPr="00DB47A1">
        <w:rPr>
          <w:rFonts w:ascii="Arial" w:hAnsi="Arial" w:cs="Arial"/>
        </w:rPr>
        <w:t>Engaging with the issue of sex work is fr</w:t>
      </w:r>
      <w:r w:rsidR="004645CA" w:rsidRPr="00DB47A1">
        <w:rPr>
          <w:rFonts w:ascii="Arial" w:hAnsi="Arial" w:cs="Arial"/>
        </w:rPr>
        <w:t>a</w:t>
      </w:r>
      <w:r w:rsidRPr="00DB47A1">
        <w:rPr>
          <w:rFonts w:ascii="Arial" w:hAnsi="Arial" w:cs="Arial"/>
        </w:rPr>
        <w:t xml:space="preserve">ught with difficulties, intersecting as it does issues of public health, autonomy, individual safety, as well as some core questions concerning feminism. </w:t>
      </w:r>
      <w:r w:rsidR="004645CA" w:rsidRPr="00DB47A1">
        <w:rPr>
          <w:rFonts w:ascii="Arial" w:hAnsi="Arial" w:cs="Arial"/>
        </w:rPr>
        <w:t xml:space="preserve">While we understand the intention of </w:t>
      </w:r>
      <w:r w:rsidR="00B95A4A" w:rsidRPr="00DB47A1">
        <w:rPr>
          <w:rFonts w:ascii="Arial" w:hAnsi="Arial" w:cs="Arial"/>
        </w:rPr>
        <w:t xml:space="preserve">criminalising </w:t>
      </w:r>
      <w:r w:rsidR="004645CA" w:rsidRPr="00DB47A1">
        <w:rPr>
          <w:rFonts w:ascii="Arial" w:hAnsi="Arial" w:cs="Arial"/>
        </w:rPr>
        <w:t xml:space="preserve">of the buyer was to signal the </w:t>
      </w:r>
      <w:r w:rsidR="00A40DCE" w:rsidRPr="00DB47A1">
        <w:rPr>
          <w:rFonts w:ascii="Arial" w:hAnsi="Arial" w:cs="Arial"/>
        </w:rPr>
        <w:t>wrongfulness of sexual violence and exploitation of sex workers, we do not agree that it is actually making sex workers lives better. Rather we submit that it is actively creating a climate of risk and danger that harms sex workers</w:t>
      </w:r>
      <w:r w:rsidR="00B95A4A" w:rsidRPr="00DB47A1">
        <w:rPr>
          <w:rFonts w:ascii="Arial" w:hAnsi="Arial" w:cs="Arial"/>
        </w:rPr>
        <w:t>’</w:t>
      </w:r>
      <w:r w:rsidR="00A40DCE" w:rsidRPr="00DB47A1">
        <w:rPr>
          <w:rFonts w:ascii="Arial" w:hAnsi="Arial" w:cs="Arial"/>
        </w:rPr>
        <w:t xml:space="preserve"> safety. </w:t>
      </w:r>
    </w:p>
    <w:p w14:paraId="057173D8" w14:textId="77777777" w:rsidR="00A40DCE" w:rsidRPr="00DB47A1" w:rsidRDefault="00A40DCE">
      <w:pPr>
        <w:rPr>
          <w:rFonts w:ascii="Arial" w:hAnsi="Arial" w:cs="Arial"/>
        </w:rPr>
      </w:pPr>
    </w:p>
    <w:p w14:paraId="152B895F" w14:textId="329077AA" w:rsidR="00FC1E70" w:rsidRPr="00DB47A1" w:rsidRDefault="00094155" w:rsidP="005C3D51">
      <w:pPr>
        <w:pStyle w:val="Heading2"/>
        <w:rPr>
          <w:rFonts w:ascii="Arial" w:hAnsi="Arial" w:cs="Arial"/>
        </w:rPr>
      </w:pPr>
      <w:r w:rsidRPr="00DB47A1">
        <w:rPr>
          <w:rFonts w:ascii="Arial" w:hAnsi="Arial" w:cs="Arial"/>
        </w:rPr>
        <w:lastRenderedPageBreak/>
        <w:t xml:space="preserve">A Harm Reduction Approach </w:t>
      </w:r>
    </w:p>
    <w:p w14:paraId="44462D2D" w14:textId="6CFB4113" w:rsidR="0050436E" w:rsidRPr="00DB47A1" w:rsidRDefault="00546099" w:rsidP="0047071B">
      <w:pPr>
        <w:rPr>
          <w:rFonts w:ascii="Arial" w:hAnsi="Arial" w:cs="Arial"/>
        </w:rPr>
      </w:pPr>
      <w:r w:rsidRPr="00DB47A1">
        <w:rPr>
          <w:rFonts w:ascii="Arial" w:hAnsi="Arial" w:cs="Arial"/>
        </w:rPr>
        <w:t xml:space="preserve">At the centre of </w:t>
      </w:r>
      <w:r w:rsidR="00E11927" w:rsidRPr="00DB47A1">
        <w:rPr>
          <w:rFonts w:ascii="Arial" w:hAnsi="Arial" w:cs="Arial"/>
        </w:rPr>
        <w:t>any state respon</w:t>
      </w:r>
      <w:r w:rsidR="00D220B0" w:rsidRPr="00DB47A1">
        <w:rPr>
          <w:rFonts w:ascii="Arial" w:hAnsi="Arial" w:cs="Arial"/>
        </w:rPr>
        <w:t>s</w:t>
      </w:r>
      <w:r w:rsidR="00E11927" w:rsidRPr="00DB47A1">
        <w:rPr>
          <w:rFonts w:ascii="Arial" w:hAnsi="Arial" w:cs="Arial"/>
        </w:rPr>
        <w:t>e</w:t>
      </w:r>
      <w:r w:rsidR="00372061" w:rsidRPr="00DB47A1">
        <w:rPr>
          <w:rFonts w:ascii="Arial" w:hAnsi="Arial" w:cs="Arial"/>
        </w:rPr>
        <w:t xml:space="preserve"> to sex work</w:t>
      </w:r>
      <w:r w:rsidRPr="00DB47A1">
        <w:rPr>
          <w:rFonts w:ascii="Arial" w:hAnsi="Arial" w:cs="Arial"/>
        </w:rPr>
        <w:t xml:space="preserve"> should be a desire to reduce harm</w:t>
      </w:r>
      <w:r w:rsidR="00094155" w:rsidRPr="00DB47A1">
        <w:rPr>
          <w:rFonts w:ascii="Arial" w:hAnsi="Arial" w:cs="Arial"/>
        </w:rPr>
        <w:t xml:space="preserve">.  </w:t>
      </w:r>
      <w:r w:rsidR="007B28DE" w:rsidRPr="00DB47A1">
        <w:rPr>
          <w:rFonts w:ascii="Arial" w:hAnsi="Arial" w:cs="Arial"/>
        </w:rPr>
        <w:t xml:space="preserve">Broadly speaking, </w:t>
      </w:r>
      <w:r w:rsidR="00D220B0" w:rsidRPr="00DB47A1">
        <w:rPr>
          <w:rFonts w:ascii="Arial" w:hAnsi="Arial" w:cs="Arial"/>
        </w:rPr>
        <w:t>there are two categories of harm involved</w:t>
      </w:r>
      <w:r w:rsidR="0050436E" w:rsidRPr="00DB47A1">
        <w:rPr>
          <w:rFonts w:ascii="Arial" w:hAnsi="Arial" w:cs="Arial"/>
        </w:rPr>
        <w:t>:</w:t>
      </w:r>
    </w:p>
    <w:p w14:paraId="0EAD1020" w14:textId="5EEFCA95" w:rsidR="00D129FF" w:rsidRPr="00DB47A1" w:rsidRDefault="0050436E" w:rsidP="00DA53DB">
      <w:pPr>
        <w:ind w:left="2880" w:hanging="2880"/>
        <w:rPr>
          <w:rFonts w:ascii="Arial" w:hAnsi="Arial" w:cs="Arial"/>
        </w:rPr>
      </w:pPr>
      <w:r w:rsidRPr="00DB47A1">
        <w:rPr>
          <w:rFonts w:ascii="Arial" w:hAnsi="Arial" w:cs="Arial"/>
          <w:b/>
          <w:bCs/>
        </w:rPr>
        <w:t>Harm to sex workers</w:t>
      </w:r>
      <w:r w:rsidR="00164F17" w:rsidRPr="00DB47A1">
        <w:rPr>
          <w:rFonts w:ascii="Arial" w:hAnsi="Arial" w:cs="Arial"/>
          <w:b/>
          <w:bCs/>
        </w:rPr>
        <w:t>:</w:t>
      </w:r>
      <w:r w:rsidR="001B6367" w:rsidRPr="00DB47A1">
        <w:rPr>
          <w:rFonts w:ascii="Arial" w:hAnsi="Arial" w:cs="Arial"/>
        </w:rPr>
        <w:tab/>
      </w:r>
      <w:r w:rsidR="00DA53DB" w:rsidRPr="00DB47A1">
        <w:rPr>
          <w:rFonts w:ascii="Arial" w:hAnsi="Arial" w:cs="Arial"/>
        </w:rPr>
        <w:t xml:space="preserve">This is the primary category of harm. Sex workers are vulnerable to a number of types of victimisation, including </w:t>
      </w:r>
      <w:r w:rsidRPr="00DB47A1">
        <w:rPr>
          <w:rFonts w:ascii="Arial" w:hAnsi="Arial" w:cs="Arial"/>
        </w:rPr>
        <w:t>sexual violence, assaults, coercion, exploitation</w:t>
      </w:r>
      <w:r w:rsidR="00D129FF" w:rsidRPr="00DB47A1">
        <w:rPr>
          <w:rFonts w:ascii="Arial" w:hAnsi="Arial" w:cs="Arial"/>
        </w:rPr>
        <w:t xml:space="preserve"> </w:t>
      </w:r>
      <w:r w:rsidR="00164F17" w:rsidRPr="00DB47A1">
        <w:rPr>
          <w:rFonts w:ascii="Arial" w:hAnsi="Arial" w:cs="Arial"/>
        </w:rPr>
        <w:t xml:space="preserve">and </w:t>
      </w:r>
      <w:r w:rsidR="007C44EB" w:rsidRPr="00DB47A1">
        <w:rPr>
          <w:rFonts w:ascii="Arial" w:hAnsi="Arial" w:cs="Arial"/>
        </w:rPr>
        <w:t>negative health impacts</w:t>
      </w:r>
      <w:r w:rsidR="00164F17" w:rsidRPr="00DB47A1">
        <w:rPr>
          <w:rFonts w:ascii="Arial" w:hAnsi="Arial" w:cs="Arial"/>
        </w:rPr>
        <w:t>.</w:t>
      </w:r>
    </w:p>
    <w:p w14:paraId="41AC7282" w14:textId="37B2F313" w:rsidR="00E11927" w:rsidRPr="00DB47A1" w:rsidRDefault="00176049" w:rsidP="00DA53DB">
      <w:pPr>
        <w:ind w:left="2880" w:hanging="2880"/>
        <w:rPr>
          <w:rFonts w:ascii="Arial" w:hAnsi="Arial" w:cs="Arial"/>
        </w:rPr>
      </w:pPr>
      <w:r w:rsidRPr="00DB47A1">
        <w:rPr>
          <w:rFonts w:ascii="Arial" w:hAnsi="Arial" w:cs="Arial"/>
          <w:b/>
          <w:bCs/>
        </w:rPr>
        <w:t>Harm t</w:t>
      </w:r>
      <w:r w:rsidR="00164F17" w:rsidRPr="00DB47A1">
        <w:rPr>
          <w:rFonts w:ascii="Arial" w:hAnsi="Arial" w:cs="Arial"/>
          <w:b/>
          <w:bCs/>
        </w:rPr>
        <w:t>o broader society</w:t>
      </w:r>
      <w:r w:rsidRPr="00DB47A1">
        <w:rPr>
          <w:rFonts w:ascii="Arial" w:hAnsi="Arial" w:cs="Arial"/>
          <w:b/>
          <w:bCs/>
        </w:rPr>
        <w:t>:</w:t>
      </w:r>
      <w:r w:rsidRPr="00DB47A1">
        <w:rPr>
          <w:rFonts w:ascii="Arial" w:hAnsi="Arial" w:cs="Arial"/>
        </w:rPr>
        <w:tab/>
      </w:r>
      <w:r w:rsidR="00164F17" w:rsidRPr="00DB47A1">
        <w:rPr>
          <w:rFonts w:ascii="Arial" w:hAnsi="Arial" w:cs="Arial"/>
        </w:rPr>
        <w:t xml:space="preserve">Equality: </w:t>
      </w:r>
      <w:r w:rsidR="0081086B" w:rsidRPr="00DB47A1">
        <w:rPr>
          <w:rFonts w:ascii="Arial" w:hAnsi="Arial" w:cs="Arial"/>
        </w:rPr>
        <w:t>Sex work can contribute to a culture in which sexual violence</w:t>
      </w:r>
      <w:r w:rsidR="00164F17" w:rsidRPr="00DB47A1">
        <w:rPr>
          <w:rFonts w:ascii="Arial" w:hAnsi="Arial" w:cs="Arial"/>
        </w:rPr>
        <w:t xml:space="preserve">, particularly that against women and girls, </w:t>
      </w:r>
      <w:r w:rsidR="0081086B" w:rsidRPr="00DB47A1">
        <w:rPr>
          <w:rFonts w:ascii="Arial" w:hAnsi="Arial" w:cs="Arial"/>
        </w:rPr>
        <w:t xml:space="preserve">is </w:t>
      </w:r>
      <w:r w:rsidR="00164F17" w:rsidRPr="00DB47A1">
        <w:rPr>
          <w:rFonts w:ascii="Arial" w:hAnsi="Arial" w:cs="Arial"/>
        </w:rPr>
        <w:t>normalised.</w:t>
      </w:r>
      <w:r w:rsidR="001B6367" w:rsidRPr="00DB47A1">
        <w:rPr>
          <w:rFonts w:ascii="Arial" w:hAnsi="Arial" w:cs="Arial"/>
        </w:rPr>
        <w:t xml:space="preserve"> </w:t>
      </w:r>
    </w:p>
    <w:p w14:paraId="522DAC46" w14:textId="5DBFBAE7" w:rsidR="00D62DDA" w:rsidRPr="00DB47A1" w:rsidRDefault="00DA53DB" w:rsidP="005C3D51">
      <w:pPr>
        <w:ind w:left="2880"/>
        <w:rPr>
          <w:rFonts w:ascii="Arial" w:hAnsi="Arial" w:cs="Arial"/>
        </w:rPr>
      </w:pPr>
      <w:r w:rsidRPr="00DB47A1">
        <w:rPr>
          <w:rFonts w:ascii="Arial" w:hAnsi="Arial" w:cs="Arial"/>
        </w:rPr>
        <w:t xml:space="preserve">Public health: </w:t>
      </w:r>
      <w:r w:rsidR="00164F17" w:rsidRPr="00DB47A1">
        <w:rPr>
          <w:rFonts w:ascii="Arial" w:hAnsi="Arial" w:cs="Arial"/>
        </w:rPr>
        <w:t xml:space="preserve">Sex work may contribute to the spread of sexually transmitted diseases. </w:t>
      </w:r>
    </w:p>
    <w:p w14:paraId="500BD1A4" w14:textId="3E339571" w:rsidR="00F57D2B" w:rsidRPr="00DB47A1" w:rsidRDefault="00F57D2B" w:rsidP="00F57D2B">
      <w:pPr>
        <w:rPr>
          <w:rFonts w:ascii="Arial" w:hAnsi="Arial" w:cs="Arial"/>
        </w:rPr>
      </w:pPr>
      <w:r w:rsidRPr="00DB47A1">
        <w:rPr>
          <w:rFonts w:ascii="Arial" w:hAnsi="Arial" w:cs="Arial"/>
        </w:rPr>
        <w:t>Harm reduction was recognised by the Commiss</w:t>
      </w:r>
      <w:r w:rsidR="003B7FBA" w:rsidRPr="00DB47A1">
        <w:rPr>
          <w:rFonts w:ascii="Arial" w:hAnsi="Arial" w:cs="Arial"/>
        </w:rPr>
        <w:t>i</w:t>
      </w:r>
      <w:r w:rsidRPr="00DB47A1">
        <w:rPr>
          <w:rFonts w:ascii="Arial" w:hAnsi="Arial" w:cs="Arial"/>
        </w:rPr>
        <w:t xml:space="preserve">on on </w:t>
      </w:r>
      <w:r w:rsidR="007C44EB" w:rsidRPr="00DB47A1">
        <w:rPr>
          <w:rFonts w:ascii="Arial" w:hAnsi="Arial" w:cs="Arial"/>
        </w:rPr>
        <w:t xml:space="preserve">the Future of </w:t>
      </w:r>
      <w:r w:rsidRPr="00DB47A1">
        <w:rPr>
          <w:rFonts w:ascii="Arial" w:hAnsi="Arial" w:cs="Arial"/>
        </w:rPr>
        <w:t xml:space="preserve">Policing </w:t>
      </w:r>
      <w:r w:rsidR="006F46B2" w:rsidRPr="00DB47A1">
        <w:rPr>
          <w:rFonts w:ascii="Arial" w:hAnsi="Arial" w:cs="Arial"/>
        </w:rPr>
        <w:t xml:space="preserve">in Ireland </w:t>
      </w:r>
      <w:r w:rsidRPr="00DB47A1">
        <w:rPr>
          <w:rFonts w:ascii="Arial" w:hAnsi="Arial" w:cs="Arial"/>
        </w:rPr>
        <w:t xml:space="preserve">as </w:t>
      </w:r>
      <w:r w:rsidR="003B7FBA" w:rsidRPr="00DB47A1">
        <w:rPr>
          <w:rFonts w:ascii="Arial" w:hAnsi="Arial" w:cs="Arial"/>
        </w:rPr>
        <w:t>a core polic</w:t>
      </w:r>
      <w:r w:rsidR="006F46B2" w:rsidRPr="00DB47A1">
        <w:rPr>
          <w:rFonts w:ascii="Arial" w:hAnsi="Arial" w:cs="Arial"/>
        </w:rPr>
        <w:t>ing</w:t>
      </w:r>
      <w:r w:rsidR="003B7FBA" w:rsidRPr="00DB47A1">
        <w:rPr>
          <w:rFonts w:ascii="Arial" w:hAnsi="Arial" w:cs="Arial"/>
        </w:rPr>
        <w:t xml:space="preserve"> objective. </w:t>
      </w:r>
      <w:r w:rsidRPr="00DB47A1">
        <w:rPr>
          <w:rFonts w:ascii="Arial" w:hAnsi="Arial" w:cs="Arial"/>
        </w:rPr>
        <w:t>Indeed, the Commission stated:</w:t>
      </w:r>
    </w:p>
    <w:p w14:paraId="51AF737B" w14:textId="2A9C0333" w:rsidR="00F57D2B" w:rsidRPr="00DB47A1" w:rsidRDefault="00F57D2B" w:rsidP="005C3D51">
      <w:pPr>
        <w:ind w:left="720"/>
        <w:rPr>
          <w:rFonts w:ascii="Arial" w:hAnsi="Arial" w:cs="Arial"/>
        </w:rPr>
      </w:pPr>
      <w:r w:rsidRPr="00DB47A1">
        <w:rPr>
          <w:rFonts w:ascii="Arial" w:hAnsi="Arial" w:cs="Arial"/>
          <w:i/>
          <w:iCs/>
        </w:rPr>
        <w:t>“The prevention of harm should be explicitly identified as a core objective of policing. Not only would this align with the reality of what police actually do every day, but it is linked to the broader policing objectives to keep the community safe, ensure order, reduce and detect crime, and vindicate the human rights of all. People in the categories listed above are all too often the victims of crime – sexual and physical abuse, trafficking, exploitation, fraud, stalking and harassment, hate crimes and so on. Identifying harm prevention as a specific core police objective will therefore help reduce crime, fear and victimisation.”</w:t>
      </w:r>
      <w:r w:rsidR="00CB5EB6" w:rsidRPr="00DB47A1">
        <w:rPr>
          <w:rStyle w:val="FootnoteReference"/>
          <w:rFonts w:ascii="Arial" w:hAnsi="Arial" w:cs="Arial"/>
        </w:rPr>
        <w:footnoteReference w:id="2"/>
      </w:r>
      <w:r w:rsidRPr="00DB47A1">
        <w:rPr>
          <w:rFonts w:ascii="Arial" w:hAnsi="Arial" w:cs="Arial"/>
        </w:rPr>
        <w:t xml:space="preserve"> </w:t>
      </w:r>
    </w:p>
    <w:p w14:paraId="3DD56F6C" w14:textId="3A768F24" w:rsidR="00326150" w:rsidRPr="00DB47A1" w:rsidRDefault="0059481E" w:rsidP="00E11927">
      <w:pPr>
        <w:rPr>
          <w:rFonts w:ascii="Arial" w:hAnsi="Arial" w:cs="Arial"/>
        </w:rPr>
      </w:pPr>
      <w:r w:rsidRPr="00DB47A1">
        <w:rPr>
          <w:rFonts w:ascii="Arial" w:hAnsi="Arial" w:cs="Arial"/>
        </w:rPr>
        <w:t>This also aligns with the position adopted by the World Health Organisation.</w:t>
      </w:r>
      <w:r w:rsidRPr="00DB47A1">
        <w:rPr>
          <w:rStyle w:val="FootnoteReference"/>
          <w:rFonts w:ascii="Arial" w:hAnsi="Arial" w:cs="Arial"/>
        </w:rPr>
        <w:footnoteReference w:id="3"/>
      </w:r>
      <w:r w:rsidRPr="00DB47A1">
        <w:rPr>
          <w:rFonts w:ascii="Arial" w:hAnsi="Arial" w:cs="Arial"/>
        </w:rPr>
        <w:t xml:space="preserve"> </w:t>
      </w:r>
      <w:r w:rsidR="00326150" w:rsidRPr="00DB47A1">
        <w:rPr>
          <w:rFonts w:ascii="Arial" w:hAnsi="Arial" w:cs="Arial"/>
        </w:rPr>
        <w:t xml:space="preserve">The current legal framework </w:t>
      </w:r>
      <w:r w:rsidR="007A26A5" w:rsidRPr="00DB47A1">
        <w:rPr>
          <w:rFonts w:ascii="Arial" w:hAnsi="Arial" w:cs="Arial"/>
        </w:rPr>
        <w:t xml:space="preserve">criminalises </w:t>
      </w:r>
      <w:r w:rsidR="00326150" w:rsidRPr="00DB47A1">
        <w:rPr>
          <w:rFonts w:ascii="Arial" w:hAnsi="Arial" w:cs="Arial"/>
        </w:rPr>
        <w:t>sex work</w:t>
      </w:r>
      <w:r w:rsidR="00727B5E" w:rsidRPr="00DB47A1">
        <w:rPr>
          <w:rFonts w:ascii="Arial" w:hAnsi="Arial" w:cs="Arial"/>
        </w:rPr>
        <w:t>. Criminalisation</w:t>
      </w:r>
      <w:r w:rsidR="00326150" w:rsidRPr="00DB47A1">
        <w:rPr>
          <w:rFonts w:ascii="Arial" w:hAnsi="Arial" w:cs="Arial"/>
        </w:rPr>
        <w:t xml:space="preserve"> means that these harms are not </w:t>
      </w:r>
      <w:r w:rsidR="007A26A5" w:rsidRPr="00DB47A1">
        <w:rPr>
          <w:rFonts w:ascii="Arial" w:hAnsi="Arial" w:cs="Arial"/>
        </w:rPr>
        <w:t xml:space="preserve">reduced, but rather the risk of each of these is increased.  </w:t>
      </w:r>
    </w:p>
    <w:p w14:paraId="65253F00" w14:textId="77777777" w:rsidR="00D220B0" w:rsidRPr="00DB47A1" w:rsidRDefault="00D220B0" w:rsidP="005C3D51">
      <w:pPr>
        <w:pStyle w:val="Heading2"/>
        <w:rPr>
          <w:rFonts w:ascii="Arial" w:hAnsi="Arial" w:cs="Arial"/>
        </w:rPr>
      </w:pPr>
      <w:r w:rsidRPr="00DB47A1">
        <w:rPr>
          <w:rFonts w:ascii="Arial" w:hAnsi="Arial" w:cs="Arial"/>
        </w:rPr>
        <w:t>The Criminalisation of Sex Work in Ireland</w:t>
      </w:r>
    </w:p>
    <w:p w14:paraId="39014B9E" w14:textId="21BFCA52" w:rsidR="002A48C9" w:rsidRPr="00DB47A1" w:rsidRDefault="00D220B0" w:rsidP="00D220B0">
      <w:pPr>
        <w:rPr>
          <w:rFonts w:ascii="Arial" w:hAnsi="Arial" w:cs="Arial"/>
        </w:rPr>
      </w:pPr>
      <w:r w:rsidRPr="00DB47A1">
        <w:rPr>
          <w:rFonts w:ascii="Arial" w:hAnsi="Arial" w:cs="Arial"/>
        </w:rPr>
        <w:t xml:space="preserve">The criminalisation of sex work has a long history in </w:t>
      </w:r>
      <w:r w:rsidR="002D763B" w:rsidRPr="00DB47A1">
        <w:rPr>
          <w:rFonts w:ascii="Arial" w:hAnsi="Arial" w:cs="Arial"/>
        </w:rPr>
        <w:t xml:space="preserve">post-independence </w:t>
      </w:r>
      <w:r w:rsidRPr="00DB47A1">
        <w:rPr>
          <w:rFonts w:ascii="Arial" w:hAnsi="Arial" w:cs="Arial"/>
        </w:rPr>
        <w:t>Ireland.</w:t>
      </w:r>
      <w:r w:rsidR="002A48C9" w:rsidRPr="00DB47A1">
        <w:rPr>
          <w:rStyle w:val="FootnoteReference"/>
          <w:rFonts w:ascii="Arial" w:hAnsi="Arial" w:cs="Arial"/>
        </w:rPr>
        <w:footnoteReference w:id="4"/>
      </w:r>
      <w:r w:rsidRPr="00DB47A1">
        <w:rPr>
          <w:rFonts w:ascii="Arial" w:hAnsi="Arial" w:cs="Arial"/>
        </w:rPr>
        <w:t xml:space="preserve"> The </w:t>
      </w:r>
      <w:r w:rsidRPr="00DB47A1">
        <w:rPr>
          <w:rFonts w:ascii="Arial" w:hAnsi="Arial" w:cs="Arial"/>
          <w:i/>
          <w:iCs/>
        </w:rPr>
        <w:t>Criminal Law (Amendment) Act 1935</w:t>
      </w:r>
      <w:r w:rsidRPr="00DB47A1">
        <w:rPr>
          <w:rFonts w:ascii="Arial" w:hAnsi="Arial" w:cs="Arial"/>
        </w:rPr>
        <w:t xml:space="preserve"> made it an offence to keep a brothel (s.13) and loitering with the intent of prostitution (s.16). </w:t>
      </w:r>
      <w:r w:rsidR="00B77A21" w:rsidRPr="00DB47A1">
        <w:rPr>
          <w:rFonts w:ascii="Arial" w:hAnsi="Arial" w:cs="Arial"/>
        </w:rPr>
        <w:t xml:space="preserve">Following the decision of the Supreme Court in </w:t>
      </w:r>
      <w:r w:rsidRPr="00DB47A1">
        <w:rPr>
          <w:rFonts w:ascii="Arial" w:hAnsi="Arial" w:cs="Arial"/>
          <w:i/>
          <w:iCs/>
        </w:rPr>
        <w:t xml:space="preserve">King v. AG </w:t>
      </w:r>
      <w:r w:rsidRPr="00DB47A1">
        <w:rPr>
          <w:rFonts w:ascii="Arial" w:hAnsi="Arial" w:cs="Arial"/>
        </w:rPr>
        <w:t>[1981]</w:t>
      </w:r>
      <w:r w:rsidR="00B77A21" w:rsidRPr="00DB47A1">
        <w:rPr>
          <w:rStyle w:val="FootnoteReference"/>
          <w:rFonts w:ascii="Arial" w:hAnsi="Arial" w:cs="Arial"/>
        </w:rPr>
        <w:footnoteReference w:id="5"/>
      </w:r>
      <w:r w:rsidRPr="00DB47A1">
        <w:rPr>
          <w:rFonts w:ascii="Arial" w:hAnsi="Arial" w:cs="Arial"/>
        </w:rPr>
        <w:t xml:space="preserve"> </w:t>
      </w:r>
      <w:r w:rsidR="00FE3C27" w:rsidRPr="00DB47A1">
        <w:rPr>
          <w:rFonts w:ascii="Arial" w:hAnsi="Arial" w:cs="Arial"/>
        </w:rPr>
        <w:t xml:space="preserve"> which </w:t>
      </w:r>
      <w:r w:rsidRPr="00DB47A1">
        <w:rPr>
          <w:rFonts w:ascii="Arial" w:hAnsi="Arial" w:cs="Arial"/>
        </w:rPr>
        <w:t>found the term ‘loitering’ to be so vague as to be unconstitutional</w:t>
      </w:r>
      <w:r w:rsidR="00135607" w:rsidRPr="00DB47A1">
        <w:rPr>
          <w:rFonts w:ascii="Arial" w:hAnsi="Arial" w:cs="Arial"/>
        </w:rPr>
        <w:t>,</w:t>
      </w:r>
      <w:r w:rsidRPr="00DB47A1">
        <w:rPr>
          <w:rFonts w:ascii="Arial" w:hAnsi="Arial" w:cs="Arial"/>
        </w:rPr>
        <w:t xml:space="preserve"> the numbers of prosecutions for prostitution fell from over 600 a year to zero.</w:t>
      </w:r>
      <w:r w:rsidR="00000AD5" w:rsidRPr="00DB47A1">
        <w:rPr>
          <w:rStyle w:val="FootnoteReference"/>
          <w:rFonts w:ascii="Arial" w:hAnsi="Arial" w:cs="Arial"/>
        </w:rPr>
        <w:footnoteReference w:id="6"/>
      </w:r>
      <w:r w:rsidRPr="00DB47A1">
        <w:rPr>
          <w:rFonts w:ascii="Arial" w:hAnsi="Arial" w:cs="Arial"/>
        </w:rPr>
        <w:t xml:space="preserve"> The </w:t>
      </w:r>
      <w:r w:rsidRPr="00DB47A1">
        <w:rPr>
          <w:rFonts w:ascii="Arial" w:hAnsi="Arial" w:cs="Arial"/>
          <w:i/>
          <w:iCs/>
        </w:rPr>
        <w:t>Criminal Law (Sexual Offences) Act 1993</w:t>
      </w:r>
      <w:r w:rsidR="002A48C9" w:rsidRPr="00DB47A1">
        <w:rPr>
          <w:rFonts w:ascii="Arial" w:hAnsi="Arial" w:cs="Arial"/>
        </w:rPr>
        <w:t xml:space="preserve"> addressed</w:t>
      </w:r>
      <w:r w:rsidRPr="00DB47A1">
        <w:rPr>
          <w:rFonts w:ascii="Arial" w:hAnsi="Arial" w:cs="Arial"/>
        </w:rPr>
        <w:t xml:space="preserve"> th</w:t>
      </w:r>
      <w:r w:rsidR="00135607" w:rsidRPr="00DB47A1">
        <w:rPr>
          <w:rFonts w:ascii="Arial" w:hAnsi="Arial" w:cs="Arial"/>
        </w:rPr>
        <w:t>e gap in the law by</w:t>
      </w:r>
      <w:r w:rsidRPr="00DB47A1">
        <w:rPr>
          <w:rFonts w:ascii="Arial" w:hAnsi="Arial" w:cs="Arial"/>
        </w:rPr>
        <w:t xml:space="preserve"> creat</w:t>
      </w:r>
      <w:r w:rsidR="00135607" w:rsidRPr="00DB47A1">
        <w:rPr>
          <w:rFonts w:ascii="Arial" w:hAnsi="Arial" w:cs="Arial"/>
        </w:rPr>
        <w:t>ing</w:t>
      </w:r>
      <w:r w:rsidRPr="00DB47A1">
        <w:rPr>
          <w:rFonts w:ascii="Arial" w:hAnsi="Arial" w:cs="Arial"/>
        </w:rPr>
        <w:t xml:space="preserve"> a number of relevant offences, all of which targeted the seller of sex</w:t>
      </w:r>
      <w:r w:rsidR="002A48C9" w:rsidRPr="00DB47A1">
        <w:rPr>
          <w:rFonts w:ascii="Arial" w:hAnsi="Arial" w:cs="Arial"/>
        </w:rPr>
        <w:t>:</w:t>
      </w:r>
    </w:p>
    <w:p w14:paraId="245E0297" w14:textId="2A0DFEB9" w:rsidR="00EB5400" w:rsidRPr="00DB47A1" w:rsidRDefault="00651F61" w:rsidP="005C3D51">
      <w:pPr>
        <w:pStyle w:val="ListParagraph"/>
        <w:numPr>
          <w:ilvl w:val="0"/>
          <w:numId w:val="3"/>
        </w:numPr>
        <w:rPr>
          <w:rFonts w:ascii="Arial" w:hAnsi="Arial" w:cs="Arial"/>
        </w:rPr>
      </w:pPr>
      <w:r w:rsidRPr="00DB47A1">
        <w:rPr>
          <w:rFonts w:ascii="Arial" w:hAnsi="Arial" w:cs="Arial"/>
        </w:rPr>
        <w:t xml:space="preserve">s. 7: </w:t>
      </w:r>
      <w:r w:rsidR="00DF7F57" w:rsidRPr="00DB47A1">
        <w:rPr>
          <w:rFonts w:ascii="Arial" w:hAnsi="Arial" w:cs="Arial"/>
        </w:rPr>
        <w:t>solici</w:t>
      </w:r>
      <w:r w:rsidR="002A48C9" w:rsidRPr="00DB47A1">
        <w:rPr>
          <w:rFonts w:ascii="Arial" w:hAnsi="Arial" w:cs="Arial"/>
        </w:rPr>
        <w:t>ting</w:t>
      </w:r>
      <w:r w:rsidR="00DF7F57" w:rsidRPr="00DB47A1">
        <w:rPr>
          <w:rFonts w:ascii="Arial" w:hAnsi="Arial" w:cs="Arial"/>
        </w:rPr>
        <w:t xml:space="preserve"> or importun</w:t>
      </w:r>
      <w:r w:rsidR="002A48C9" w:rsidRPr="00DB47A1">
        <w:rPr>
          <w:rFonts w:ascii="Arial" w:hAnsi="Arial" w:cs="Arial"/>
        </w:rPr>
        <w:t>ing</w:t>
      </w:r>
      <w:r w:rsidR="00DF7F57" w:rsidRPr="00DB47A1">
        <w:rPr>
          <w:rFonts w:ascii="Arial" w:hAnsi="Arial" w:cs="Arial"/>
        </w:rPr>
        <w:t xml:space="preserve"> for the purposes of </w:t>
      </w:r>
      <w:r w:rsidRPr="00DB47A1">
        <w:rPr>
          <w:rFonts w:ascii="Arial" w:hAnsi="Arial" w:cs="Arial"/>
        </w:rPr>
        <w:t>prostitut</w:t>
      </w:r>
      <w:r w:rsidR="00DF7F57" w:rsidRPr="00DB47A1">
        <w:rPr>
          <w:rFonts w:ascii="Arial" w:hAnsi="Arial" w:cs="Arial"/>
        </w:rPr>
        <w:t>ion</w:t>
      </w:r>
      <w:r w:rsidR="002A48C9" w:rsidRPr="00DB47A1">
        <w:rPr>
          <w:rFonts w:ascii="Arial" w:hAnsi="Arial" w:cs="Arial"/>
        </w:rPr>
        <w:t>;</w:t>
      </w:r>
      <w:r w:rsidR="001C3840" w:rsidRPr="00DB47A1">
        <w:rPr>
          <w:rStyle w:val="FootnoteReference"/>
          <w:rFonts w:ascii="Arial" w:hAnsi="Arial" w:cs="Arial"/>
        </w:rPr>
        <w:footnoteReference w:id="7"/>
      </w:r>
      <w:r w:rsidRPr="00DB47A1">
        <w:rPr>
          <w:rFonts w:ascii="Arial" w:hAnsi="Arial" w:cs="Arial"/>
        </w:rPr>
        <w:t xml:space="preserve"> </w:t>
      </w:r>
    </w:p>
    <w:p w14:paraId="46A07E4C" w14:textId="4373A53A" w:rsidR="00D220B0" w:rsidRPr="00DB47A1" w:rsidRDefault="00D220B0" w:rsidP="00D220B0">
      <w:pPr>
        <w:numPr>
          <w:ilvl w:val="0"/>
          <w:numId w:val="3"/>
        </w:numPr>
        <w:rPr>
          <w:rFonts w:ascii="Arial" w:hAnsi="Arial" w:cs="Arial"/>
        </w:rPr>
      </w:pPr>
      <w:r w:rsidRPr="00DB47A1">
        <w:rPr>
          <w:rFonts w:ascii="Arial" w:hAnsi="Arial" w:cs="Arial"/>
        </w:rPr>
        <w:t xml:space="preserve">S.8: </w:t>
      </w:r>
      <w:r w:rsidR="002A48C9" w:rsidRPr="00DB47A1">
        <w:rPr>
          <w:rFonts w:ascii="Arial" w:hAnsi="Arial" w:cs="Arial"/>
        </w:rPr>
        <w:t xml:space="preserve">failing to move on, once asked by a garda who suspects a person is </w:t>
      </w:r>
      <w:r w:rsidRPr="00DB47A1">
        <w:rPr>
          <w:rFonts w:ascii="Arial" w:hAnsi="Arial" w:cs="Arial"/>
        </w:rPr>
        <w:t>loitering for the purpose of prostitution</w:t>
      </w:r>
      <w:r w:rsidR="002A48C9" w:rsidRPr="00DB47A1">
        <w:rPr>
          <w:rFonts w:ascii="Arial" w:hAnsi="Arial" w:cs="Arial"/>
        </w:rPr>
        <w:t>;</w:t>
      </w:r>
    </w:p>
    <w:p w14:paraId="1619FFC8" w14:textId="40AEC89B" w:rsidR="00D220B0" w:rsidRPr="00DB47A1" w:rsidRDefault="00D220B0" w:rsidP="00D220B0">
      <w:pPr>
        <w:numPr>
          <w:ilvl w:val="0"/>
          <w:numId w:val="3"/>
        </w:numPr>
        <w:rPr>
          <w:rFonts w:ascii="Arial" w:hAnsi="Arial" w:cs="Arial"/>
        </w:rPr>
      </w:pPr>
      <w:r w:rsidRPr="00DB47A1">
        <w:rPr>
          <w:rFonts w:ascii="Arial" w:hAnsi="Arial" w:cs="Arial"/>
        </w:rPr>
        <w:t>S.9: directing, organising, controlling prostituti</w:t>
      </w:r>
      <w:r w:rsidR="002A48C9" w:rsidRPr="00DB47A1">
        <w:rPr>
          <w:rFonts w:ascii="Arial" w:hAnsi="Arial" w:cs="Arial"/>
        </w:rPr>
        <w:t>on</w:t>
      </w:r>
      <w:r w:rsidRPr="00DB47A1">
        <w:rPr>
          <w:rFonts w:ascii="Arial" w:hAnsi="Arial" w:cs="Arial"/>
        </w:rPr>
        <w:t>;</w:t>
      </w:r>
    </w:p>
    <w:p w14:paraId="7E764AC8" w14:textId="58784D05" w:rsidR="00D220B0" w:rsidRPr="00DB47A1" w:rsidRDefault="00D220B0" w:rsidP="00D220B0">
      <w:pPr>
        <w:numPr>
          <w:ilvl w:val="0"/>
          <w:numId w:val="3"/>
        </w:numPr>
        <w:rPr>
          <w:rFonts w:ascii="Arial" w:hAnsi="Arial" w:cs="Arial"/>
        </w:rPr>
      </w:pPr>
      <w:r w:rsidRPr="00DB47A1">
        <w:rPr>
          <w:rFonts w:ascii="Arial" w:hAnsi="Arial" w:cs="Arial"/>
        </w:rPr>
        <w:t>S.10: living on earnings of prostitution;</w:t>
      </w:r>
    </w:p>
    <w:p w14:paraId="1B1FE487" w14:textId="01A0D0E9" w:rsidR="00D220B0" w:rsidRPr="00DB47A1" w:rsidRDefault="00D220B0" w:rsidP="00D220B0">
      <w:pPr>
        <w:numPr>
          <w:ilvl w:val="0"/>
          <w:numId w:val="3"/>
        </w:numPr>
        <w:rPr>
          <w:rFonts w:ascii="Arial" w:hAnsi="Arial" w:cs="Arial"/>
        </w:rPr>
      </w:pPr>
      <w:r w:rsidRPr="00DB47A1">
        <w:rPr>
          <w:rFonts w:ascii="Arial" w:hAnsi="Arial" w:cs="Arial"/>
        </w:rPr>
        <w:t xml:space="preserve">S.11: brothel keeping. A brothel is simply defined as 2 or more people working together. This provision means that any two sex workers who work together for their safety are treated by the law as operating a brothel. </w:t>
      </w:r>
    </w:p>
    <w:p w14:paraId="64B7F284" w14:textId="7F1DFEA5" w:rsidR="00754711" w:rsidRPr="00DB47A1" w:rsidRDefault="00D220B0" w:rsidP="007D6B3E">
      <w:pPr>
        <w:rPr>
          <w:rFonts w:ascii="Arial" w:hAnsi="Arial" w:cs="Arial"/>
        </w:rPr>
      </w:pPr>
      <w:r w:rsidRPr="00DB47A1">
        <w:rPr>
          <w:rFonts w:ascii="Arial" w:hAnsi="Arial" w:cs="Arial"/>
        </w:rPr>
        <w:t xml:space="preserve">Thus, while the 1993 Act does not criminalise the selling of sex, it does criminalise all related activities such that it is not possible to work as a sex worker in Ireland without committing a criminal offence. </w:t>
      </w:r>
      <w:r w:rsidR="009606DF" w:rsidRPr="00DB47A1">
        <w:rPr>
          <w:rFonts w:ascii="Arial" w:hAnsi="Arial" w:cs="Arial"/>
        </w:rPr>
        <w:t>Th</w:t>
      </w:r>
      <w:r w:rsidR="00754711" w:rsidRPr="00DB47A1">
        <w:rPr>
          <w:rFonts w:ascii="Arial" w:hAnsi="Arial" w:cs="Arial"/>
        </w:rPr>
        <w:t xml:space="preserve">is leaves sex workers in an extremely precarious and vulnerable position, whereby any attempt by them to seek help from </w:t>
      </w:r>
      <w:proofErr w:type="spellStart"/>
      <w:r w:rsidR="00754711" w:rsidRPr="00DB47A1">
        <w:rPr>
          <w:rFonts w:ascii="Arial" w:hAnsi="Arial" w:cs="Arial"/>
        </w:rPr>
        <w:t>garda</w:t>
      </w:r>
      <w:r w:rsidR="00146789" w:rsidRPr="00DB47A1">
        <w:rPr>
          <w:rFonts w:ascii="Arial" w:hAnsi="Arial" w:cs="Arial"/>
        </w:rPr>
        <w:t>í</w:t>
      </w:r>
      <w:proofErr w:type="spellEnd"/>
      <w:r w:rsidR="00754711" w:rsidRPr="00DB47A1">
        <w:rPr>
          <w:rFonts w:ascii="Arial" w:hAnsi="Arial" w:cs="Arial"/>
        </w:rPr>
        <w:t xml:space="preserve"> or the State, risks them being brought within the net of the criminal process. </w:t>
      </w:r>
    </w:p>
    <w:p w14:paraId="453F9F80" w14:textId="7404D01F" w:rsidR="00F2106B" w:rsidRPr="00DB47A1" w:rsidRDefault="00F2106B" w:rsidP="002A48C9">
      <w:pPr>
        <w:pStyle w:val="Heading2"/>
        <w:rPr>
          <w:rFonts w:ascii="Arial" w:hAnsi="Arial" w:cs="Arial"/>
        </w:rPr>
      </w:pPr>
      <w:r w:rsidRPr="00DB47A1">
        <w:rPr>
          <w:rFonts w:ascii="Arial" w:hAnsi="Arial" w:cs="Arial"/>
        </w:rPr>
        <w:t xml:space="preserve">Part 4 of the </w:t>
      </w:r>
      <w:r w:rsidR="00754711" w:rsidRPr="00DB47A1">
        <w:rPr>
          <w:rFonts w:ascii="Arial" w:hAnsi="Arial" w:cs="Arial"/>
        </w:rPr>
        <w:t>Criminal Law (Sexual Offences)</w:t>
      </w:r>
      <w:r w:rsidRPr="00DB47A1">
        <w:rPr>
          <w:rFonts w:ascii="Arial" w:hAnsi="Arial" w:cs="Arial"/>
        </w:rPr>
        <w:t xml:space="preserve"> Act</w:t>
      </w:r>
      <w:r w:rsidR="00754711" w:rsidRPr="00DB47A1">
        <w:rPr>
          <w:rFonts w:ascii="Arial" w:hAnsi="Arial" w:cs="Arial"/>
        </w:rPr>
        <w:t xml:space="preserve"> 2017</w:t>
      </w:r>
      <w:r w:rsidRPr="00DB47A1">
        <w:rPr>
          <w:rFonts w:ascii="Arial" w:hAnsi="Arial" w:cs="Arial"/>
        </w:rPr>
        <w:t xml:space="preserve"> </w:t>
      </w:r>
    </w:p>
    <w:p w14:paraId="161BC3FB" w14:textId="3CBEF44E" w:rsidR="007D6B3E" w:rsidRPr="00DB47A1" w:rsidRDefault="007D6B3E" w:rsidP="007D6B3E">
      <w:pPr>
        <w:rPr>
          <w:rFonts w:ascii="Arial" w:hAnsi="Arial" w:cs="Arial"/>
        </w:rPr>
      </w:pPr>
      <w:r w:rsidRPr="00DB47A1">
        <w:rPr>
          <w:rFonts w:ascii="Arial" w:hAnsi="Arial" w:cs="Arial"/>
        </w:rPr>
        <w:t xml:space="preserve">The 2017 Act criminalised the purchase of sex, with the stated aim of focusing criminalising efforts on the buyer of sex and protecting vulnerable persons. </w:t>
      </w:r>
      <w:r w:rsidR="00AC0AC8" w:rsidRPr="00DB47A1">
        <w:rPr>
          <w:rFonts w:ascii="Arial" w:hAnsi="Arial" w:cs="Arial"/>
        </w:rPr>
        <w:t>Introducing the Bill to the Oireachtas in October 2015</w:t>
      </w:r>
      <w:r w:rsidR="00146789" w:rsidRPr="00DB47A1">
        <w:rPr>
          <w:rFonts w:ascii="Arial" w:hAnsi="Arial" w:cs="Arial"/>
        </w:rPr>
        <w:t>,</w:t>
      </w:r>
      <w:r w:rsidR="00AC0AC8" w:rsidRPr="00DB47A1">
        <w:rPr>
          <w:rFonts w:ascii="Arial" w:hAnsi="Arial" w:cs="Arial"/>
        </w:rPr>
        <w:t xml:space="preserve"> Minister Fitzgerald stated:</w:t>
      </w:r>
    </w:p>
    <w:p w14:paraId="1BB6CCE2" w14:textId="54A11467" w:rsidR="00EF1A60" w:rsidRPr="00DB47A1" w:rsidRDefault="00EF1A60" w:rsidP="002A48C9">
      <w:pPr>
        <w:ind w:left="720"/>
        <w:rPr>
          <w:rFonts w:ascii="Arial" w:hAnsi="Arial" w:cs="Arial"/>
        </w:rPr>
      </w:pPr>
      <w:r w:rsidRPr="00DB47A1">
        <w:rPr>
          <w:rFonts w:ascii="Arial" w:hAnsi="Arial" w:cs="Arial"/>
          <w:i/>
          <w:iCs/>
        </w:rPr>
        <w:t>“First, let me be clear on what these provisions do. It will be an offence for a person to pay, offer or promise to pay a person for the purpose of engaging in sexual activity with a prostitute. The person providing the sexual service, the prostitute, will not be subject to an offence. The purpose of introducing these provisions is primarily to target the trafficking and sexual exploitation of persons through prostitution.”</w:t>
      </w:r>
      <w:r w:rsidR="00BB5C53" w:rsidRPr="00DB47A1">
        <w:rPr>
          <w:rStyle w:val="FootnoteReference"/>
          <w:rFonts w:ascii="Arial" w:hAnsi="Arial" w:cs="Arial"/>
          <w:i/>
          <w:iCs/>
        </w:rPr>
        <w:footnoteReference w:id="8"/>
      </w:r>
    </w:p>
    <w:p w14:paraId="0B8FD45C" w14:textId="6FF934A2" w:rsidR="00717BEC" w:rsidRPr="00DB47A1" w:rsidRDefault="007D6B3E" w:rsidP="00717BEC">
      <w:pPr>
        <w:rPr>
          <w:rFonts w:ascii="Arial" w:hAnsi="Arial" w:cs="Arial"/>
        </w:rPr>
      </w:pPr>
      <w:r w:rsidRPr="00DB47A1">
        <w:rPr>
          <w:rFonts w:ascii="Arial" w:hAnsi="Arial" w:cs="Arial"/>
        </w:rPr>
        <w:t>Th</w:t>
      </w:r>
      <w:r w:rsidR="00D12DCC" w:rsidRPr="00DB47A1">
        <w:rPr>
          <w:rFonts w:ascii="Arial" w:hAnsi="Arial" w:cs="Arial"/>
        </w:rPr>
        <w:t>e Bill was thus presented to the Oireachtas as intending to crimin</w:t>
      </w:r>
      <w:r w:rsidR="006E38F9" w:rsidRPr="00DB47A1">
        <w:rPr>
          <w:rFonts w:ascii="Arial" w:hAnsi="Arial" w:cs="Arial"/>
        </w:rPr>
        <w:t>a</w:t>
      </w:r>
      <w:r w:rsidR="00D12DCC" w:rsidRPr="00DB47A1">
        <w:rPr>
          <w:rFonts w:ascii="Arial" w:hAnsi="Arial" w:cs="Arial"/>
        </w:rPr>
        <w:t xml:space="preserve">lise the buyer, rather </w:t>
      </w:r>
      <w:r w:rsidR="006E38F9" w:rsidRPr="00DB47A1">
        <w:rPr>
          <w:rFonts w:ascii="Arial" w:hAnsi="Arial" w:cs="Arial"/>
        </w:rPr>
        <w:t xml:space="preserve">the seller of sex. </w:t>
      </w:r>
      <w:r w:rsidR="00717BEC" w:rsidRPr="00DB47A1">
        <w:rPr>
          <w:rFonts w:ascii="Arial" w:hAnsi="Arial" w:cs="Arial"/>
        </w:rPr>
        <w:t xml:space="preserve">However, the </w:t>
      </w:r>
      <w:r w:rsidR="00917386" w:rsidRPr="00DB47A1">
        <w:rPr>
          <w:rFonts w:ascii="Arial" w:hAnsi="Arial" w:cs="Arial"/>
        </w:rPr>
        <w:t>legislation</w:t>
      </w:r>
      <w:r w:rsidR="00717BEC" w:rsidRPr="00DB47A1">
        <w:rPr>
          <w:rFonts w:ascii="Arial" w:hAnsi="Arial" w:cs="Arial"/>
        </w:rPr>
        <w:t xml:space="preserve"> </w:t>
      </w:r>
      <w:r w:rsidR="00917386" w:rsidRPr="00DB47A1">
        <w:rPr>
          <w:rFonts w:ascii="Arial" w:hAnsi="Arial" w:cs="Arial"/>
        </w:rPr>
        <w:t xml:space="preserve">did not </w:t>
      </w:r>
      <w:r w:rsidR="002A48C9" w:rsidRPr="00DB47A1">
        <w:rPr>
          <w:rFonts w:ascii="Arial" w:hAnsi="Arial" w:cs="Arial"/>
        </w:rPr>
        <w:t>repeal</w:t>
      </w:r>
      <w:r w:rsidR="00917386" w:rsidRPr="00DB47A1">
        <w:rPr>
          <w:rFonts w:ascii="Arial" w:hAnsi="Arial" w:cs="Arial"/>
        </w:rPr>
        <w:t xml:space="preserve"> the offences created by the Criminal Law (Sexual Offences ) 1993 Act described above</w:t>
      </w:r>
      <w:r w:rsidR="00717BEC" w:rsidRPr="00DB47A1">
        <w:rPr>
          <w:rFonts w:ascii="Arial" w:hAnsi="Arial" w:cs="Arial"/>
        </w:rPr>
        <w:t xml:space="preserve">. </w:t>
      </w:r>
      <w:r w:rsidR="00BF512C" w:rsidRPr="00DB47A1">
        <w:rPr>
          <w:rFonts w:ascii="Arial" w:hAnsi="Arial" w:cs="Arial"/>
        </w:rPr>
        <w:t xml:space="preserve">Soliciting, working together, living off the earnings, or engaging in surrounding activities are all still criminalised. </w:t>
      </w:r>
      <w:r w:rsidR="00EB4B5A" w:rsidRPr="00DB47A1">
        <w:rPr>
          <w:rFonts w:ascii="Arial" w:hAnsi="Arial" w:cs="Arial"/>
        </w:rPr>
        <w:t xml:space="preserve">The 2017 Act did not affect any of these offences. </w:t>
      </w:r>
      <w:r w:rsidR="00717BEC" w:rsidRPr="00DB47A1">
        <w:rPr>
          <w:rFonts w:ascii="Arial" w:hAnsi="Arial" w:cs="Arial"/>
        </w:rPr>
        <w:t xml:space="preserve">Rather, the Act </w:t>
      </w:r>
      <w:r w:rsidR="00AC0D04" w:rsidRPr="00DB47A1">
        <w:rPr>
          <w:rFonts w:ascii="Arial" w:hAnsi="Arial" w:cs="Arial"/>
        </w:rPr>
        <w:t xml:space="preserve">increased the </w:t>
      </w:r>
      <w:r w:rsidR="00B41015" w:rsidRPr="00DB47A1">
        <w:rPr>
          <w:rFonts w:ascii="Arial" w:hAnsi="Arial" w:cs="Arial"/>
        </w:rPr>
        <w:t xml:space="preserve">maximum </w:t>
      </w:r>
      <w:r w:rsidR="008D13B9" w:rsidRPr="00DB47A1">
        <w:rPr>
          <w:rFonts w:ascii="Arial" w:hAnsi="Arial" w:cs="Arial"/>
        </w:rPr>
        <w:t>sanction</w:t>
      </w:r>
      <w:r w:rsidR="0086098A" w:rsidRPr="00DB47A1">
        <w:rPr>
          <w:rFonts w:ascii="Arial" w:hAnsi="Arial" w:cs="Arial"/>
        </w:rPr>
        <w:t>s applicable</w:t>
      </w:r>
      <w:r w:rsidR="009105DB" w:rsidRPr="00DB47A1">
        <w:rPr>
          <w:rFonts w:ascii="Arial" w:hAnsi="Arial" w:cs="Arial"/>
        </w:rPr>
        <w:t>; for example</w:t>
      </w:r>
      <w:r w:rsidR="00CA78B9" w:rsidRPr="00DB47A1">
        <w:rPr>
          <w:rFonts w:ascii="Arial" w:hAnsi="Arial" w:cs="Arial"/>
        </w:rPr>
        <w:t>,</w:t>
      </w:r>
      <w:r w:rsidR="009105DB" w:rsidRPr="00DB47A1">
        <w:rPr>
          <w:rFonts w:ascii="Arial" w:hAnsi="Arial" w:cs="Arial"/>
        </w:rPr>
        <w:t xml:space="preserve"> </w:t>
      </w:r>
      <w:r w:rsidR="00014459" w:rsidRPr="00DB47A1">
        <w:rPr>
          <w:rFonts w:ascii="Arial" w:hAnsi="Arial" w:cs="Arial"/>
        </w:rPr>
        <w:t xml:space="preserve">the Act raised the maximum penalty </w:t>
      </w:r>
      <w:r w:rsidR="00AC0D04" w:rsidRPr="00DB47A1">
        <w:rPr>
          <w:rFonts w:ascii="Arial" w:hAnsi="Arial" w:cs="Arial"/>
        </w:rPr>
        <w:t xml:space="preserve">for </w:t>
      </w:r>
      <w:r w:rsidR="00B41015" w:rsidRPr="00DB47A1">
        <w:rPr>
          <w:rFonts w:ascii="Arial" w:hAnsi="Arial" w:cs="Arial"/>
        </w:rPr>
        <w:t>a</w:t>
      </w:r>
      <w:r w:rsidR="00F15504" w:rsidRPr="00DB47A1">
        <w:rPr>
          <w:rFonts w:ascii="Arial" w:hAnsi="Arial" w:cs="Arial"/>
        </w:rPr>
        <w:t xml:space="preserve"> first </w:t>
      </w:r>
      <w:r w:rsidR="00B41015" w:rsidRPr="00DB47A1">
        <w:rPr>
          <w:rFonts w:ascii="Arial" w:hAnsi="Arial" w:cs="Arial"/>
        </w:rPr>
        <w:t xml:space="preserve">offence under s8 </w:t>
      </w:r>
      <w:r w:rsidR="007218FD" w:rsidRPr="00DB47A1">
        <w:rPr>
          <w:rFonts w:ascii="Arial" w:hAnsi="Arial" w:cs="Arial"/>
        </w:rPr>
        <w:t>(failure to move)</w:t>
      </w:r>
      <w:r w:rsidR="00AC0D04" w:rsidRPr="00DB47A1">
        <w:rPr>
          <w:rFonts w:ascii="Arial" w:hAnsi="Arial" w:cs="Arial"/>
        </w:rPr>
        <w:t xml:space="preserve"> from a </w:t>
      </w:r>
      <w:r w:rsidR="00FA4124" w:rsidRPr="00DB47A1">
        <w:rPr>
          <w:rFonts w:ascii="Arial" w:hAnsi="Arial" w:cs="Arial"/>
        </w:rPr>
        <w:t>low</w:t>
      </w:r>
      <w:r w:rsidR="009A6C61" w:rsidRPr="00DB47A1">
        <w:rPr>
          <w:rFonts w:ascii="Arial" w:hAnsi="Arial" w:cs="Arial"/>
        </w:rPr>
        <w:t xml:space="preserve"> fine</w:t>
      </w:r>
      <w:r w:rsidR="006F5CE9" w:rsidRPr="00DB47A1">
        <w:rPr>
          <w:rStyle w:val="FootnoteReference"/>
          <w:rFonts w:ascii="Arial" w:hAnsi="Arial" w:cs="Arial"/>
        </w:rPr>
        <w:footnoteReference w:id="9"/>
      </w:r>
      <w:r w:rsidR="00F15504" w:rsidRPr="00DB47A1">
        <w:rPr>
          <w:rFonts w:ascii="Arial" w:hAnsi="Arial" w:cs="Arial"/>
        </w:rPr>
        <w:t xml:space="preserve"> </w:t>
      </w:r>
      <w:r w:rsidR="00AC0D04" w:rsidRPr="00DB47A1">
        <w:rPr>
          <w:rFonts w:ascii="Arial" w:hAnsi="Arial" w:cs="Arial"/>
        </w:rPr>
        <w:t>to</w:t>
      </w:r>
      <w:r w:rsidR="00B41015" w:rsidRPr="00DB47A1">
        <w:rPr>
          <w:rFonts w:ascii="Arial" w:hAnsi="Arial" w:cs="Arial"/>
        </w:rPr>
        <w:t xml:space="preserve"> </w:t>
      </w:r>
      <w:r w:rsidR="007218FD" w:rsidRPr="00DB47A1">
        <w:rPr>
          <w:rFonts w:ascii="Arial" w:hAnsi="Arial" w:cs="Arial"/>
        </w:rPr>
        <w:t>6 months imprisonment</w:t>
      </w:r>
      <w:r w:rsidR="00DB7877" w:rsidRPr="00DB47A1">
        <w:rPr>
          <w:rFonts w:ascii="Arial" w:hAnsi="Arial" w:cs="Arial"/>
        </w:rPr>
        <w:t xml:space="preserve"> and a </w:t>
      </w:r>
      <w:r w:rsidR="009A6C61" w:rsidRPr="00DB47A1">
        <w:rPr>
          <w:rFonts w:ascii="Arial" w:hAnsi="Arial" w:cs="Arial"/>
        </w:rPr>
        <w:t xml:space="preserve">Class D </w:t>
      </w:r>
      <w:r w:rsidR="00DB7877" w:rsidRPr="00DB47A1">
        <w:rPr>
          <w:rFonts w:ascii="Arial" w:hAnsi="Arial" w:cs="Arial"/>
        </w:rPr>
        <w:t>fine</w:t>
      </w:r>
      <w:r w:rsidR="007218FD" w:rsidRPr="00DB47A1">
        <w:rPr>
          <w:rFonts w:ascii="Arial" w:hAnsi="Arial" w:cs="Arial"/>
        </w:rPr>
        <w:t>.</w:t>
      </w:r>
      <w:r w:rsidR="002D79FD" w:rsidRPr="00DB47A1">
        <w:rPr>
          <w:rStyle w:val="FootnoteReference"/>
          <w:rFonts w:ascii="Arial" w:hAnsi="Arial" w:cs="Arial"/>
        </w:rPr>
        <w:footnoteReference w:id="10"/>
      </w:r>
      <w:r w:rsidR="007218FD" w:rsidRPr="00DB47A1">
        <w:rPr>
          <w:rFonts w:ascii="Arial" w:hAnsi="Arial" w:cs="Arial"/>
        </w:rPr>
        <w:t xml:space="preserve"> </w:t>
      </w:r>
    </w:p>
    <w:p w14:paraId="0FA70C81" w14:textId="492CBB8E" w:rsidR="007D6B3E" w:rsidRPr="00DB47A1" w:rsidRDefault="00E9443B" w:rsidP="007D6B3E">
      <w:pPr>
        <w:rPr>
          <w:rFonts w:ascii="Arial" w:hAnsi="Arial" w:cs="Arial"/>
        </w:rPr>
      </w:pPr>
      <w:r w:rsidRPr="00DB47A1">
        <w:rPr>
          <w:rFonts w:ascii="Arial" w:hAnsi="Arial" w:cs="Arial"/>
        </w:rPr>
        <w:t xml:space="preserve">Not only did the </w:t>
      </w:r>
      <w:r w:rsidR="0025100E" w:rsidRPr="00DB47A1">
        <w:rPr>
          <w:rFonts w:ascii="Arial" w:hAnsi="Arial" w:cs="Arial"/>
        </w:rPr>
        <w:t xml:space="preserve">2017 </w:t>
      </w:r>
      <w:r w:rsidRPr="00DB47A1">
        <w:rPr>
          <w:rFonts w:ascii="Arial" w:hAnsi="Arial" w:cs="Arial"/>
        </w:rPr>
        <w:t>Act strengthen the penal provisions applicable to sex workers, it also</w:t>
      </w:r>
      <w:r w:rsidR="006E3827" w:rsidRPr="00DB47A1">
        <w:rPr>
          <w:rFonts w:ascii="Arial" w:hAnsi="Arial" w:cs="Arial"/>
        </w:rPr>
        <w:t xml:space="preserve"> </w:t>
      </w:r>
      <w:r w:rsidR="00D36DA8" w:rsidRPr="00DB47A1">
        <w:rPr>
          <w:rFonts w:ascii="Arial" w:hAnsi="Arial" w:cs="Arial"/>
        </w:rPr>
        <w:t xml:space="preserve">created additional risks of harm to their </w:t>
      </w:r>
      <w:r w:rsidR="00A665D8" w:rsidRPr="00DB47A1">
        <w:rPr>
          <w:rFonts w:ascii="Arial" w:hAnsi="Arial" w:cs="Arial"/>
        </w:rPr>
        <w:t xml:space="preserve">health and safety. </w:t>
      </w:r>
      <w:r w:rsidR="00353958" w:rsidRPr="00DB47A1">
        <w:rPr>
          <w:rFonts w:ascii="Arial" w:hAnsi="Arial" w:cs="Arial"/>
        </w:rPr>
        <w:t>Because a</w:t>
      </w:r>
      <w:r w:rsidR="007D6B3E" w:rsidRPr="00DB47A1">
        <w:rPr>
          <w:rFonts w:ascii="Arial" w:hAnsi="Arial" w:cs="Arial"/>
        </w:rPr>
        <w:t xml:space="preserve"> purchaser </w:t>
      </w:r>
      <w:r w:rsidR="00353958" w:rsidRPr="00DB47A1">
        <w:rPr>
          <w:rFonts w:ascii="Arial" w:hAnsi="Arial" w:cs="Arial"/>
        </w:rPr>
        <w:t xml:space="preserve">risks </w:t>
      </w:r>
      <w:r w:rsidR="007D6B3E" w:rsidRPr="00DB47A1">
        <w:rPr>
          <w:rFonts w:ascii="Arial" w:hAnsi="Arial" w:cs="Arial"/>
        </w:rPr>
        <w:t>conviction</w:t>
      </w:r>
      <w:r w:rsidR="00353958" w:rsidRPr="00DB47A1">
        <w:rPr>
          <w:rFonts w:ascii="Arial" w:hAnsi="Arial" w:cs="Arial"/>
        </w:rPr>
        <w:t xml:space="preserve"> un</w:t>
      </w:r>
      <w:r w:rsidR="00554947" w:rsidRPr="00DB47A1">
        <w:rPr>
          <w:rFonts w:ascii="Arial" w:hAnsi="Arial" w:cs="Arial"/>
        </w:rPr>
        <w:t>d</w:t>
      </w:r>
      <w:r w:rsidR="00353958" w:rsidRPr="00DB47A1">
        <w:rPr>
          <w:rFonts w:ascii="Arial" w:hAnsi="Arial" w:cs="Arial"/>
        </w:rPr>
        <w:t>er the 2017 Act</w:t>
      </w:r>
      <w:r w:rsidR="007D6B3E" w:rsidRPr="00DB47A1">
        <w:rPr>
          <w:rFonts w:ascii="Arial" w:hAnsi="Arial" w:cs="Arial"/>
        </w:rPr>
        <w:t xml:space="preserve">, </w:t>
      </w:r>
      <w:r w:rsidR="00554947" w:rsidRPr="00DB47A1">
        <w:rPr>
          <w:rFonts w:ascii="Arial" w:hAnsi="Arial" w:cs="Arial"/>
        </w:rPr>
        <w:t>the purc</w:t>
      </w:r>
      <w:r w:rsidR="00537602" w:rsidRPr="00DB47A1">
        <w:rPr>
          <w:rFonts w:ascii="Arial" w:hAnsi="Arial" w:cs="Arial"/>
        </w:rPr>
        <w:t xml:space="preserve">haser </w:t>
      </w:r>
      <w:r w:rsidR="007D6B3E" w:rsidRPr="00DB47A1">
        <w:rPr>
          <w:rFonts w:ascii="Arial" w:hAnsi="Arial" w:cs="Arial"/>
        </w:rPr>
        <w:t>may push the seller to engage in more risky behaviour. There is more at stake for the purchaser in engaging in this conduct.</w:t>
      </w:r>
      <w:r w:rsidR="0064207F" w:rsidRPr="00DB47A1">
        <w:rPr>
          <w:rFonts w:ascii="Arial" w:hAnsi="Arial" w:cs="Arial"/>
        </w:rPr>
        <w:t xml:space="preserve"> One study by </w:t>
      </w:r>
      <w:proofErr w:type="spellStart"/>
      <w:r w:rsidR="00204688" w:rsidRPr="00DB47A1">
        <w:rPr>
          <w:rFonts w:ascii="Arial" w:hAnsi="Arial" w:cs="Arial"/>
        </w:rPr>
        <w:t>Krüsi</w:t>
      </w:r>
      <w:proofErr w:type="spellEnd"/>
      <w:r w:rsidR="00204688" w:rsidRPr="00DB47A1" w:rsidDel="00204688">
        <w:rPr>
          <w:rFonts w:ascii="Arial" w:hAnsi="Arial" w:cs="Arial"/>
        </w:rPr>
        <w:t xml:space="preserve"> </w:t>
      </w:r>
      <w:r w:rsidR="0064207F" w:rsidRPr="00DB47A1">
        <w:rPr>
          <w:rFonts w:ascii="Arial" w:hAnsi="Arial" w:cs="Arial"/>
        </w:rPr>
        <w:t>et al found that criminalisation of the purchaser forced women to work longer hours and it sever</w:t>
      </w:r>
      <w:r w:rsidR="009748E1" w:rsidRPr="00DB47A1">
        <w:rPr>
          <w:rFonts w:ascii="Arial" w:hAnsi="Arial" w:cs="Arial"/>
        </w:rPr>
        <w:t>e</w:t>
      </w:r>
      <w:r w:rsidR="0064207F" w:rsidRPr="00DB47A1">
        <w:rPr>
          <w:rFonts w:ascii="Arial" w:hAnsi="Arial" w:cs="Arial"/>
        </w:rPr>
        <w:t>ly impact on their safety strategies.</w:t>
      </w:r>
      <w:r w:rsidR="0064207F" w:rsidRPr="00DB47A1">
        <w:rPr>
          <w:rStyle w:val="FootnoteReference"/>
          <w:rFonts w:ascii="Arial" w:hAnsi="Arial" w:cs="Arial"/>
        </w:rPr>
        <w:footnoteReference w:id="11"/>
      </w:r>
      <w:r w:rsidR="0064207F" w:rsidRPr="00DB47A1">
        <w:rPr>
          <w:rFonts w:ascii="Arial" w:hAnsi="Arial" w:cs="Arial"/>
        </w:rPr>
        <w:t xml:space="preserve"> They found women spent less time screening and negotiating with clients, were willing to engage in less safe sex (e.g. without condoms)</w:t>
      </w:r>
      <w:r w:rsidR="007D6B3E" w:rsidRPr="00DB47A1">
        <w:rPr>
          <w:rFonts w:ascii="Arial" w:hAnsi="Arial" w:cs="Arial"/>
        </w:rPr>
        <w:t xml:space="preserve"> </w:t>
      </w:r>
      <w:r w:rsidR="0064207F" w:rsidRPr="00DB47A1">
        <w:rPr>
          <w:rFonts w:ascii="Arial" w:hAnsi="Arial" w:cs="Arial"/>
        </w:rPr>
        <w:t xml:space="preserve"> and engaged in activities in less well lit, more isolated areas where there is a less accessible help.</w:t>
      </w:r>
    </w:p>
    <w:p w14:paraId="723EF125" w14:textId="0CB21947" w:rsidR="00B248F3" w:rsidRPr="00DB47A1" w:rsidRDefault="008A3CC2" w:rsidP="007D6B3E">
      <w:pPr>
        <w:rPr>
          <w:rFonts w:ascii="Arial" w:hAnsi="Arial" w:cs="Arial"/>
        </w:rPr>
      </w:pPr>
      <w:r w:rsidRPr="00DB47A1">
        <w:rPr>
          <w:rFonts w:ascii="Arial" w:hAnsi="Arial" w:cs="Arial"/>
        </w:rPr>
        <w:t xml:space="preserve">The available evidence suggests that sex workers’ safety has been dramatically reduced. </w:t>
      </w:r>
      <w:r w:rsidR="00D40917" w:rsidRPr="00DB47A1">
        <w:rPr>
          <w:rFonts w:ascii="Arial" w:hAnsi="Arial" w:cs="Arial"/>
        </w:rPr>
        <w:t xml:space="preserve"> Between March 2015 and March 2017</w:t>
      </w:r>
      <w:r w:rsidR="00624292" w:rsidRPr="00DB47A1">
        <w:rPr>
          <w:rFonts w:ascii="Arial" w:hAnsi="Arial" w:cs="Arial"/>
        </w:rPr>
        <w:t>,</w:t>
      </w:r>
      <w:r w:rsidR="00D40917" w:rsidRPr="00DB47A1">
        <w:rPr>
          <w:rFonts w:ascii="Arial" w:hAnsi="Arial" w:cs="Arial"/>
        </w:rPr>
        <w:t xml:space="preserve"> </w:t>
      </w:r>
      <w:r w:rsidR="00E2543C" w:rsidRPr="00DB47A1">
        <w:rPr>
          <w:rFonts w:ascii="Arial" w:hAnsi="Arial" w:cs="Arial"/>
        </w:rPr>
        <w:t xml:space="preserve">385 violent crimes were reported to Ugly Mugs. From March 2017 to March 2019, this had risen to </w:t>
      </w:r>
      <w:r w:rsidR="00C9041C" w:rsidRPr="00DB47A1">
        <w:rPr>
          <w:rFonts w:ascii="Arial" w:hAnsi="Arial" w:cs="Arial"/>
        </w:rPr>
        <w:t>740, a very worrying level.</w:t>
      </w:r>
      <w:r w:rsidR="00C0009C" w:rsidRPr="00DB47A1">
        <w:rPr>
          <w:rStyle w:val="FootnoteReference"/>
          <w:rFonts w:ascii="Arial" w:hAnsi="Arial" w:cs="Arial"/>
        </w:rPr>
        <w:footnoteReference w:id="12"/>
      </w:r>
      <w:r w:rsidR="00C9041C" w:rsidRPr="00DB47A1">
        <w:rPr>
          <w:rFonts w:ascii="Arial" w:hAnsi="Arial" w:cs="Arial"/>
        </w:rPr>
        <w:t xml:space="preserve"> </w:t>
      </w:r>
      <w:r w:rsidR="009E3392" w:rsidRPr="00DB47A1">
        <w:rPr>
          <w:rFonts w:ascii="Arial" w:hAnsi="Arial" w:cs="Arial"/>
        </w:rPr>
        <w:t>This would align with the view expressed by the World Health Organisation that “Law enforcement authorities and laws governing prostitution have, in some cases, increased the risk of violence against sex workers rather than protected them against it.”</w:t>
      </w:r>
      <w:r w:rsidR="009E3392" w:rsidRPr="00DB47A1">
        <w:rPr>
          <w:rStyle w:val="FootnoteReference"/>
          <w:rFonts w:ascii="Arial" w:hAnsi="Arial" w:cs="Arial"/>
        </w:rPr>
        <w:footnoteReference w:id="13"/>
      </w:r>
    </w:p>
    <w:p w14:paraId="2890ED5E" w14:textId="5424179E" w:rsidR="00C9041C" w:rsidRPr="00DB47A1" w:rsidRDefault="00C9041C" w:rsidP="007D6B3E">
      <w:pPr>
        <w:rPr>
          <w:rFonts w:ascii="Arial" w:hAnsi="Arial" w:cs="Arial"/>
        </w:rPr>
      </w:pPr>
      <w:r w:rsidRPr="00DB47A1">
        <w:rPr>
          <w:rFonts w:ascii="Arial" w:hAnsi="Arial" w:cs="Arial"/>
        </w:rPr>
        <w:t>Official statistics do not tell us how many sex workers have reported offences, or how many sex workers have been prosecuted for offences</w:t>
      </w:r>
      <w:r w:rsidR="008A3CC2" w:rsidRPr="00DB47A1">
        <w:rPr>
          <w:rFonts w:ascii="Arial" w:hAnsi="Arial" w:cs="Arial"/>
        </w:rPr>
        <w:t>.</w:t>
      </w:r>
    </w:p>
    <w:p w14:paraId="276FB6A5" w14:textId="730FD81F" w:rsidR="00B248F3" w:rsidRPr="00DB47A1" w:rsidRDefault="00B248F3" w:rsidP="007D6B3E">
      <w:pPr>
        <w:rPr>
          <w:rFonts w:ascii="Arial" w:hAnsi="Arial" w:cs="Arial"/>
        </w:rPr>
      </w:pPr>
      <w:r w:rsidRPr="00DB47A1">
        <w:rPr>
          <w:rFonts w:ascii="Arial" w:hAnsi="Arial" w:cs="Arial"/>
        </w:rPr>
        <w:t>We know that the numbers of prostitution offences recorded has dramatically increased since the introduction of the Act</w:t>
      </w:r>
    </w:p>
    <w:tbl>
      <w:tblPr>
        <w:tblW w:w="0" w:type="auto"/>
        <w:tblBorders>
          <w:bottom w:val="single" w:sz="6" w:space="0" w:color="006699"/>
        </w:tblBorders>
        <w:shd w:val="clear" w:color="auto" w:fill="FFFFFF"/>
        <w:tblCellMar>
          <w:top w:w="15" w:type="dxa"/>
          <w:left w:w="15" w:type="dxa"/>
          <w:bottom w:w="15" w:type="dxa"/>
          <w:right w:w="15" w:type="dxa"/>
        </w:tblCellMar>
        <w:tblLook w:val="04A0" w:firstRow="1" w:lastRow="0" w:firstColumn="1" w:lastColumn="0" w:noHBand="0" w:noVBand="1"/>
      </w:tblPr>
      <w:tblGrid>
        <w:gridCol w:w="2366"/>
        <w:gridCol w:w="655"/>
        <w:gridCol w:w="655"/>
        <w:gridCol w:w="655"/>
        <w:gridCol w:w="655"/>
      </w:tblGrid>
      <w:tr w:rsidR="00B248F3" w:rsidRPr="00DB47A1" w14:paraId="1CE086FE" w14:textId="77777777" w:rsidTr="00B248F3">
        <w:tc>
          <w:tcPr>
            <w:tcW w:w="0" w:type="auto"/>
            <w:tcBorders>
              <w:top w:val="single" w:sz="12" w:space="0" w:color="006699"/>
              <w:bottom w:val="single" w:sz="6" w:space="0" w:color="006699"/>
            </w:tcBorders>
            <w:shd w:val="clear" w:color="auto" w:fill="FFFFFF"/>
            <w:tcMar>
              <w:top w:w="15" w:type="dxa"/>
              <w:left w:w="150" w:type="dxa"/>
              <w:bottom w:w="15" w:type="dxa"/>
              <w:right w:w="15" w:type="dxa"/>
            </w:tcMar>
            <w:vAlign w:val="center"/>
            <w:hideMark/>
          </w:tcPr>
          <w:p w14:paraId="5D495CCC" w14:textId="77777777" w:rsidR="00B248F3" w:rsidRPr="00DB47A1" w:rsidRDefault="00B248F3" w:rsidP="00B248F3">
            <w:pPr>
              <w:rPr>
                <w:rFonts w:ascii="Arial" w:hAnsi="Arial" w:cs="Arial"/>
                <w:b/>
                <w:bCs/>
              </w:rPr>
            </w:pPr>
            <w:r w:rsidRPr="00DB47A1">
              <w:rPr>
                <w:rFonts w:ascii="Arial" w:hAnsi="Arial" w:cs="Arial"/>
                <w:b/>
                <w:bCs/>
              </w:rPr>
              <w:t> </w:t>
            </w:r>
          </w:p>
        </w:tc>
        <w:tc>
          <w:tcPr>
            <w:tcW w:w="0" w:type="auto"/>
            <w:tcBorders>
              <w:top w:val="single" w:sz="12" w:space="0" w:color="006699"/>
              <w:bottom w:val="single" w:sz="6" w:space="0" w:color="006699"/>
            </w:tcBorders>
            <w:shd w:val="clear" w:color="auto" w:fill="FFFFFF"/>
            <w:tcMar>
              <w:top w:w="15" w:type="dxa"/>
              <w:left w:w="150" w:type="dxa"/>
              <w:bottom w:w="15" w:type="dxa"/>
              <w:right w:w="15" w:type="dxa"/>
            </w:tcMar>
            <w:vAlign w:val="center"/>
            <w:hideMark/>
          </w:tcPr>
          <w:p w14:paraId="6279EA3B" w14:textId="77777777" w:rsidR="00B248F3" w:rsidRPr="00DB47A1" w:rsidRDefault="00B248F3" w:rsidP="00B248F3">
            <w:pPr>
              <w:rPr>
                <w:rFonts w:ascii="Arial" w:hAnsi="Arial" w:cs="Arial"/>
                <w:b/>
                <w:bCs/>
              </w:rPr>
            </w:pPr>
            <w:r w:rsidRPr="00DB47A1">
              <w:rPr>
                <w:rFonts w:ascii="Arial" w:hAnsi="Arial" w:cs="Arial"/>
                <w:b/>
                <w:bCs/>
              </w:rPr>
              <w:t>2016</w:t>
            </w:r>
          </w:p>
        </w:tc>
        <w:tc>
          <w:tcPr>
            <w:tcW w:w="0" w:type="auto"/>
            <w:tcBorders>
              <w:top w:val="single" w:sz="12" w:space="0" w:color="006699"/>
              <w:bottom w:val="single" w:sz="6" w:space="0" w:color="006699"/>
            </w:tcBorders>
            <w:shd w:val="clear" w:color="auto" w:fill="FFFFFF"/>
            <w:tcMar>
              <w:top w:w="15" w:type="dxa"/>
              <w:left w:w="150" w:type="dxa"/>
              <w:bottom w:w="15" w:type="dxa"/>
              <w:right w:w="15" w:type="dxa"/>
            </w:tcMar>
            <w:vAlign w:val="center"/>
            <w:hideMark/>
          </w:tcPr>
          <w:p w14:paraId="7A1BB764" w14:textId="77777777" w:rsidR="00B248F3" w:rsidRPr="00DB47A1" w:rsidRDefault="00B248F3" w:rsidP="00B248F3">
            <w:pPr>
              <w:rPr>
                <w:rFonts w:ascii="Arial" w:hAnsi="Arial" w:cs="Arial"/>
                <w:b/>
                <w:bCs/>
              </w:rPr>
            </w:pPr>
            <w:r w:rsidRPr="00DB47A1">
              <w:rPr>
                <w:rFonts w:ascii="Arial" w:hAnsi="Arial" w:cs="Arial"/>
                <w:b/>
                <w:bCs/>
              </w:rPr>
              <w:t>2017</w:t>
            </w:r>
          </w:p>
        </w:tc>
        <w:tc>
          <w:tcPr>
            <w:tcW w:w="0" w:type="auto"/>
            <w:tcBorders>
              <w:top w:val="single" w:sz="12" w:space="0" w:color="006699"/>
              <w:bottom w:val="single" w:sz="6" w:space="0" w:color="006699"/>
            </w:tcBorders>
            <w:shd w:val="clear" w:color="auto" w:fill="FFFFFF"/>
            <w:tcMar>
              <w:top w:w="15" w:type="dxa"/>
              <w:left w:w="150" w:type="dxa"/>
              <w:bottom w:w="15" w:type="dxa"/>
              <w:right w:w="15" w:type="dxa"/>
            </w:tcMar>
            <w:vAlign w:val="center"/>
            <w:hideMark/>
          </w:tcPr>
          <w:p w14:paraId="14576EFE" w14:textId="77777777" w:rsidR="00B248F3" w:rsidRPr="00DB47A1" w:rsidRDefault="00B248F3" w:rsidP="00B248F3">
            <w:pPr>
              <w:rPr>
                <w:rFonts w:ascii="Arial" w:hAnsi="Arial" w:cs="Arial"/>
                <w:b/>
                <w:bCs/>
              </w:rPr>
            </w:pPr>
            <w:r w:rsidRPr="00DB47A1">
              <w:rPr>
                <w:rFonts w:ascii="Arial" w:hAnsi="Arial" w:cs="Arial"/>
                <w:b/>
                <w:bCs/>
              </w:rPr>
              <w:t>2018</w:t>
            </w:r>
          </w:p>
        </w:tc>
        <w:tc>
          <w:tcPr>
            <w:tcW w:w="0" w:type="auto"/>
            <w:tcBorders>
              <w:top w:val="single" w:sz="12" w:space="0" w:color="006699"/>
              <w:bottom w:val="single" w:sz="6" w:space="0" w:color="006699"/>
            </w:tcBorders>
            <w:shd w:val="clear" w:color="auto" w:fill="FFFFFF"/>
            <w:tcMar>
              <w:top w:w="15" w:type="dxa"/>
              <w:left w:w="150" w:type="dxa"/>
              <w:bottom w:w="15" w:type="dxa"/>
              <w:right w:w="15" w:type="dxa"/>
            </w:tcMar>
            <w:vAlign w:val="center"/>
            <w:hideMark/>
          </w:tcPr>
          <w:p w14:paraId="7949BCE5" w14:textId="77777777" w:rsidR="00B248F3" w:rsidRPr="00DB47A1" w:rsidRDefault="00B248F3" w:rsidP="00B248F3">
            <w:pPr>
              <w:rPr>
                <w:rFonts w:ascii="Arial" w:hAnsi="Arial" w:cs="Arial"/>
                <w:b/>
                <w:bCs/>
              </w:rPr>
            </w:pPr>
            <w:r w:rsidRPr="00DB47A1">
              <w:rPr>
                <w:rFonts w:ascii="Arial" w:hAnsi="Arial" w:cs="Arial"/>
                <w:b/>
                <w:bCs/>
              </w:rPr>
              <w:t>2019</w:t>
            </w:r>
          </w:p>
        </w:tc>
      </w:tr>
      <w:tr w:rsidR="00B248F3" w:rsidRPr="00DB47A1" w14:paraId="72C2F317" w14:textId="77777777" w:rsidTr="00B248F3">
        <w:tc>
          <w:tcPr>
            <w:tcW w:w="0" w:type="auto"/>
            <w:shd w:val="clear" w:color="auto" w:fill="FFFFFF"/>
            <w:tcMar>
              <w:top w:w="15" w:type="dxa"/>
              <w:left w:w="15" w:type="dxa"/>
              <w:bottom w:w="15" w:type="dxa"/>
              <w:right w:w="150" w:type="dxa"/>
            </w:tcMar>
            <w:vAlign w:val="center"/>
            <w:hideMark/>
          </w:tcPr>
          <w:p w14:paraId="6CA78407" w14:textId="77777777" w:rsidR="00B248F3" w:rsidRPr="00DB47A1" w:rsidRDefault="00B248F3" w:rsidP="00B248F3">
            <w:pPr>
              <w:rPr>
                <w:rFonts w:ascii="Arial" w:hAnsi="Arial" w:cs="Arial"/>
                <w:b/>
                <w:bCs/>
              </w:rPr>
            </w:pPr>
            <w:r w:rsidRPr="00DB47A1">
              <w:rPr>
                <w:rFonts w:ascii="Arial" w:hAnsi="Arial" w:cs="Arial"/>
                <w:b/>
                <w:bCs/>
              </w:rPr>
              <w:t>Prostitution offences</w:t>
            </w:r>
          </w:p>
        </w:tc>
        <w:tc>
          <w:tcPr>
            <w:tcW w:w="0" w:type="auto"/>
            <w:shd w:val="clear" w:color="auto" w:fill="FFFFFF"/>
            <w:noWrap/>
            <w:tcMar>
              <w:top w:w="15" w:type="dxa"/>
              <w:left w:w="150" w:type="dxa"/>
              <w:bottom w:w="15" w:type="dxa"/>
              <w:right w:w="15" w:type="dxa"/>
            </w:tcMar>
            <w:vAlign w:val="center"/>
            <w:hideMark/>
          </w:tcPr>
          <w:p w14:paraId="718104DD" w14:textId="77777777" w:rsidR="00B248F3" w:rsidRPr="00DB47A1" w:rsidRDefault="00B248F3" w:rsidP="00B248F3">
            <w:pPr>
              <w:rPr>
                <w:rFonts w:ascii="Arial" w:hAnsi="Arial" w:cs="Arial"/>
              </w:rPr>
            </w:pPr>
            <w:r w:rsidRPr="00DB47A1">
              <w:rPr>
                <w:rFonts w:ascii="Arial" w:hAnsi="Arial" w:cs="Arial"/>
              </w:rPr>
              <w:t>34</w:t>
            </w:r>
          </w:p>
        </w:tc>
        <w:tc>
          <w:tcPr>
            <w:tcW w:w="0" w:type="auto"/>
            <w:shd w:val="clear" w:color="auto" w:fill="FFFFFF"/>
            <w:noWrap/>
            <w:tcMar>
              <w:top w:w="15" w:type="dxa"/>
              <w:left w:w="150" w:type="dxa"/>
              <w:bottom w:w="15" w:type="dxa"/>
              <w:right w:w="15" w:type="dxa"/>
            </w:tcMar>
            <w:vAlign w:val="center"/>
            <w:hideMark/>
          </w:tcPr>
          <w:p w14:paraId="7DA48A18" w14:textId="77777777" w:rsidR="00B248F3" w:rsidRPr="00DB47A1" w:rsidRDefault="00B248F3" w:rsidP="00B248F3">
            <w:pPr>
              <w:rPr>
                <w:rFonts w:ascii="Arial" w:hAnsi="Arial" w:cs="Arial"/>
              </w:rPr>
            </w:pPr>
            <w:r w:rsidRPr="00DB47A1">
              <w:rPr>
                <w:rFonts w:ascii="Arial" w:hAnsi="Arial" w:cs="Arial"/>
              </w:rPr>
              <w:t>39</w:t>
            </w:r>
          </w:p>
        </w:tc>
        <w:tc>
          <w:tcPr>
            <w:tcW w:w="0" w:type="auto"/>
            <w:shd w:val="clear" w:color="auto" w:fill="FFFFFF"/>
            <w:noWrap/>
            <w:tcMar>
              <w:top w:w="15" w:type="dxa"/>
              <w:left w:w="150" w:type="dxa"/>
              <w:bottom w:w="15" w:type="dxa"/>
              <w:right w:w="15" w:type="dxa"/>
            </w:tcMar>
            <w:vAlign w:val="center"/>
            <w:hideMark/>
          </w:tcPr>
          <w:p w14:paraId="2C52A5A5" w14:textId="77777777" w:rsidR="00B248F3" w:rsidRPr="00DB47A1" w:rsidRDefault="00B248F3" w:rsidP="00B248F3">
            <w:pPr>
              <w:rPr>
                <w:rFonts w:ascii="Arial" w:hAnsi="Arial" w:cs="Arial"/>
              </w:rPr>
            </w:pPr>
            <w:r w:rsidRPr="00DB47A1">
              <w:rPr>
                <w:rFonts w:ascii="Arial" w:hAnsi="Arial" w:cs="Arial"/>
              </w:rPr>
              <w:t>37</w:t>
            </w:r>
          </w:p>
        </w:tc>
        <w:tc>
          <w:tcPr>
            <w:tcW w:w="0" w:type="auto"/>
            <w:shd w:val="clear" w:color="auto" w:fill="FFFFFF"/>
            <w:noWrap/>
            <w:tcMar>
              <w:top w:w="15" w:type="dxa"/>
              <w:left w:w="150" w:type="dxa"/>
              <w:bottom w:w="15" w:type="dxa"/>
              <w:right w:w="15" w:type="dxa"/>
            </w:tcMar>
            <w:vAlign w:val="center"/>
            <w:hideMark/>
          </w:tcPr>
          <w:p w14:paraId="79A96635" w14:textId="77777777" w:rsidR="00B248F3" w:rsidRPr="00DB47A1" w:rsidRDefault="00B248F3" w:rsidP="00B248F3">
            <w:pPr>
              <w:rPr>
                <w:rFonts w:ascii="Arial" w:hAnsi="Arial" w:cs="Arial"/>
              </w:rPr>
            </w:pPr>
            <w:r w:rsidRPr="00DB47A1">
              <w:rPr>
                <w:rFonts w:ascii="Arial" w:hAnsi="Arial" w:cs="Arial"/>
              </w:rPr>
              <w:t>112</w:t>
            </w:r>
          </w:p>
        </w:tc>
      </w:tr>
      <w:tr w:rsidR="00B248F3" w:rsidRPr="00DB47A1" w14:paraId="07438E5F" w14:textId="77777777" w:rsidTr="00B248F3">
        <w:tc>
          <w:tcPr>
            <w:tcW w:w="0" w:type="auto"/>
            <w:shd w:val="clear" w:color="auto" w:fill="FFFFFF"/>
            <w:vAlign w:val="center"/>
            <w:hideMark/>
          </w:tcPr>
          <w:p w14:paraId="3BF4B2AA" w14:textId="77777777" w:rsidR="00B248F3" w:rsidRPr="00DB47A1" w:rsidRDefault="00B248F3" w:rsidP="00B248F3">
            <w:pPr>
              <w:rPr>
                <w:rFonts w:ascii="Arial" w:hAnsi="Arial" w:cs="Arial"/>
              </w:rPr>
            </w:pPr>
          </w:p>
        </w:tc>
        <w:tc>
          <w:tcPr>
            <w:tcW w:w="0" w:type="auto"/>
            <w:shd w:val="clear" w:color="auto" w:fill="FFFFFF"/>
            <w:vAlign w:val="center"/>
            <w:hideMark/>
          </w:tcPr>
          <w:p w14:paraId="35770098" w14:textId="77777777" w:rsidR="00B248F3" w:rsidRPr="00DB47A1" w:rsidRDefault="00B248F3" w:rsidP="00B248F3">
            <w:pPr>
              <w:rPr>
                <w:rFonts w:ascii="Arial" w:hAnsi="Arial" w:cs="Arial"/>
              </w:rPr>
            </w:pPr>
          </w:p>
        </w:tc>
        <w:tc>
          <w:tcPr>
            <w:tcW w:w="0" w:type="auto"/>
            <w:shd w:val="clear" w:color="auto" w:fill="FFFFFF"/>
            <w:vAlign w:val="center"/>
            <w:hideMark/>
          </w:tcPr>
          <w:p w14:paraId="315EA315" w14:textId="77777777" w:rsidR="00B248F3" w:rsidRPr="00DB47A1" w:rsidRDefault="00B248F3" w:rsidP="00B248F3">
            <w:pPr>
              <w:rPr>
                <w:rFonts w:ascii="Arial" w:hAnsi="Arial" w:cs="Arial"/>
              </w:rPr>
            </w:pPr>
          </w:p>
        </w:tc>
        <w:tc>
          <w:tcPr>
            <w:tcW w:w="0" w:type="auto"/>
            <w:shd w:val="clear" w:color="auto" w:fill="FFFFFF"/>
            <w:vAlign w:val="center"/>
            <w:hideMark/>
          </w:tcPr>
          <w:p w14:paraId="16A32AA2" w14:textId="77777777" w:rsidR="00B248F3" w:rsidRPr="00DB47A1" w:rsidRDefault="00B248F3" w:rsidP="00B248F3">
            <w:pPr>
              <w:rPr>
                <w:rFonts w:ascii="Arial" w:hAnsi="Arial" w:cs="Arial"/>
              </w:rPr>
            </w:pPr>
          </w:p>
        </w:tc>
        <w:tc>
          <w:tcPr>
            <w:tcW w:w="0" w:type="auto"/>
            <w:shd w:val="clear" w:color="auto" w:fill="FFFFFF"/>
            <w:vAlign w:val="center"/>
            <w:hideMark/>
          </w:tcPr>
          <w:p w14:paraId="0CA73FB4" w14:textId="77777777" w:rsidR="00B248F3" w:rsidRPr="00DB47A1" w:rsidRDefault="00B248F3" w:rsidP="00B248F3">
            <w:pPr>
              <w:rPr>
                <w:rFonts w:ascii="Arial" w:hAnsi="Arial" w:cs="Arial"/>
              </w:rPr>
            </w:pPr>
          </w:p>
        </w:tc>
      </w:tr>
    </w:tbl>
    <w:p w14:paraId="08F404B1" w14:textId="1C252431" w:rsidR="00B248F3" w:rsidRPr="00DB47A1" w:rsidRDefault="00B248F3" w:rsidP="007D6B3E">
      <w:pPr>
        <w:rPr>
          <w:rFonts w:ascii="Arial" w:hAnsi="Arial" w:cs="Arial"/>
        </w:rPr>
      </w:pPr>
      <w:r w:rsidRPr="00DB47A1">
        <w:rPr>
          <w:rFonts w:ascii="Arial" w:hAnsi="Arial" w:cs="Arial"/>
        </w:rPr>
        <w:t>(Source</w:t>
      </w:r>
      <w:r w:rsidR="00AC594E" w:rsidRPr="00DB47A1">
        <w:rPr>
          <w:rFonts w:ascii="Arial" w:hAnsi="Arial" w:cs="Arial"/>
        </w:rPr>
        <w:t xml:space="preserve">: </w:t>
      </w:r>
      <w:r w:rsidRPr="00DB47A1">
        <w:rPr>
          <w:rFonts w:ascii="Arial" w:hAnsi="Arial" w:cs="Arial"/>
        </w:rPr>
        <w:t xml:space="preserve"> </w:t>
      </w:r>
      <w:r w:rsidR="002A48C9" w:rsidRPr="00DB47A1">
        <w:rPr>
          <w:rFonts w:ascii="Arial" w:hAnsi="Arial" w:cs="Arial"/>
        </w:rPr>
        <w:t>www.cso.ie</w:t>
      </w:r>
      <w:r w:rsidRPr="00DB47A1">
        <w:rPr>
          <w:rFonts w:ascii="Arial" w:hAnsi="Arial" w:cs="Arial"/>
        </w:rPr>
        <w:t>)</w:t>
      </w:r>
    </w:p>
    <w:p w14:paraId="72900DE5" w14:textId="116F758E" w:rsidR="00B248F3" w:rsidRPr="00DB47A1" w:rsidRDefault="00B248F3" w:rsidP="007D6B3E">
      <w:pPr>
        <w:rPr>
          <w:rFonts w:ascii="Arial" w:hAnsi="Arial" w:cs="Arial"/>
        </w:rPr>
      </w:pPr>
      <w:r w:rsidRPr="00DB47A1">
        <w:rPr>
          <w:rFonts w:ascii="Arial" w:hAnsi="Arial" w:cs="Arial"/>
        </w:rPr>
        <w:t>While the CSO does not provide breakdowns</w:t>
      </w:r>
      <w:r w:rsidR="0049185E" w:rsidRPr="00DB47A1">
        <w:rPr>
          <w:rFonts w:ascii="Arial" w:hAnsi="Arial" w:cs="Arial"/>
        </w:rPr>
        <w:t xml:space="preserve"> of which offences these relate to, media coverage would suggest that this increase is not solely due to prosecution of buyers: The Irish Examiner indicated in August 2019, that 14 files had been sent to the DPP that year (</w:t>
      </w:r>
      <w:hyperlink r:id="rId8" w:history="1">
        <w:r w:rsidR="0049185E" w:rsidRPr="00DB47A1">
          <w:rPr>
            <w:rStyle w:val="Hyperlink"/>
            <w:rFonts w:ascii="Arial" w:hAnsi="Arial" w:cs="Arial"/>
          </w:rPr>
          <w:t>https://www.irishexaminer.com/news/arid-30946966.html</w:t>
        </w:r>
      </w:hyperlink>
      <w:r w:rsidR="0049185E" w:rsidRPr="00DB47A1">
        <w:rPr>
          <w:rFonts w:ascii="Arial" w:hAnsi="Arial" w:cs="Arial"/>
        </w:rPr>
        <w:t>)</w:t>
      </w:r>
    </w:p>
    <w:p w14:paraId="7BFD73F7" w14:textId="4C8A5B23" w:rsidR="0049185E" w:rsidRPr="00DB47A1" w:rsidRDefault="0049185E" w:rsidP="007D6B3E">
      <w:pPr>
        <w:rPr>
          <w:rFonts w:ascii="Arial" w:hAnsi="Arial" w:cs="Arial"/>
        </w:rPr>
      </w:pPr>
      <w:r w:rsidRPr="00DB47A1">
        <w:rPr>
          <w:rFonts w:ascii="Arial" w:hAnsi="Arial" w:cs="Arial"/>
        </w:rPr>
        <w:t xml:space="preserve">This piece further compares the prosecuting of buyers and sellers and suggests more sellers were being prosecuted ( </w:t>
      </w:r>
      <w:hyperlink r:id="rId9" w:history="1">
        <w:r w:rsidRPr="00DB47A1">
          <w:rPr>
            <w:rStyle w:val="Hyperlink"/>
            <w:rFonts w:ascii="Arial" w:hAnsi="Arial" w:cs="Arial"/>
          </w:rPr>
          <w:t>https://www.irishexaminer.com/news/arid-30920913.html</w:t>
        </w:r>
      </w:hyperlink>
      <w:r w:rsidRPr="00DB47A1">
        <w:rPr>
          <w:rFonts w:ascii="Arial" w:hAnsi="Arial" w:cs="Arial"/>
        </w:rPr>
        <w:t>)</w:t>
      </w:r>
    </w:p>
    <w:p w14:paraId="72D73DE1" w14:textId="16452DC3" w:rsidR="0049185E" w:rsidRPr="00DB47A1" w:rsidRDefault="0049185E" w:rsidP="007D6B3E">
      <w:pPr>
        <w:rPr>
          <w:rFonts w:ascii="Arial" w:hAnsi="Arial" w:cs="Arial"/>
        </w:rPr>
      </w:pPr>
      <w:r w:rsidRPr="00DB47A1">
        <w:rPr>
          <w:rFonts w:ascii="Arial" w:hAnsi="Arial" w:cs="Arial"/>
        </w:rPr>
        <w:t>Indeed, reporting in early 2020 Geoffrey Shannon noted that just 4 individuals had been prosecuted for the purchase of sex.</w:t>
      </w:r>
      <w:r w:rsidRPr="00DB47A1">
        <w:rPr>
          <w:rStyle w:val="FootnoteReference"/>
          <w:rFonts w:ascii="Arial" w:hAnsi="Arial" w:cs="Arial"/>
        </w:rPr>
        <w:footnoteReference w:id="14"/>
      </w:r>
      <w:r w:rsidRPr="00DB47A1">
        <w:rPr>
          <w:rFonts w:ascii="Arial" w:hAnsi="Arial" w:cs="Arial"/>
        </w:rPr>
        <w:t xml:space="preserve"> </w:t>
      </w:r>
    </w:p>
    <w:p w14:paraId="76F95A38" w14:textId="661278AB" w:rsidR="00212745" w:rsidRPr="00DB47A1" w:rsidRDefault="00212745" w:rsidP="007D6B3E">
      <w:pPr>
        <w:rPr>
          <w:rFonts w:ascii="Arial" w:hAnsi="Arial" w:cs="Arial"/>
        </w:rPr>
      </w:pPr>
      <w:r w:rsidRPr="00DB47A1">
        <w:rPr>
          <w:rFonts w:ascii="Arial" w:hAnsi="Arial" w:cs="Arial"/>
        </w:rPr>
        <w:t xml:space="preserve">A further issue is the emerging evidence that in Ireland, </w:t>
      </w:r>
      <w:r w:rsidR="000D4EF3" w:rsidRPr="00DB47A1">
        <w:rPr>
          <w:rFonts w:ascii="Arial" w:hAnsi="Arial" w:cs="Arial"/>
        </w:rPr>
        <w:t xml:space="preserve">this criminalisation of sex workers is gendered, and tends to be directed at female and queer, rather than male, sex workers. </w:t>
      </w:r>
      <w:r w:rsidR="00BE6E14" w:rsidRPr="00DB47A1">
        <w:rPr>
          <w:rFonts w:ascii="Arial" w:hAnsi="Arial" w:cs="Arial"/>
        </w:rPr>
        <w:t>This is an issue explored by Ryan.</w:t>
      </w:r>
      <w:r w:rsidR="00BE6E14" w:rsidRPr="00DB47A1">
        <w:rPr>
          <w:rStyle w:val="FootnoteReference"/>
          <w:rFonts w:ascii="Arial" w:hAnsi="Arial" w:cs="Arial"/>
        </w:rPr>
        <w:footnoteReference w:id="15"/>
      </w:r>
      <w:r w:rsidR="003C3B94" w:rsidRPr="00DB47A1">
        <w:rPr>
          <w:rFonts w:ascii="Arial" w:hAnsi="Arial" w:cs="Arial"/>
        </w:rPr>
        <w:t xml:space="preserve"> This evidence would suggest that men, often because of how they engage in sex work, are less likely to be prosecuted. </w:t>
      </w:r>
    </w:p>
    <w:p w14:paraId="72EDE0A1" w14:textId="6DAC1CD2" w:rsidR="00A5450D" w:rsidRPr="00DB47A1" w:rsidRDefault="007B7B94" w:rsidP="007D6B3E">
      <w:pPr>
        <w:rPr>
          <w:rFonts w:ascii="Arial" w:hAnsi="Arial" w:cs="Arial"/>
        </w:rPr>
      </w:pPr>
      <w:r w:rsidRPr="00DB47A1">
        <w:rPr>
          <w:rFonts w:ascii="Arial" w:hAnsi="Arial" w:cs="Arial"/>
        </w:rPr>
        <w:t>Thus it is not clear that the law is achieving what it was intended to do: to</w:t>
      </w:r>
      <w:r w:rsidR="00083F11" w:rsidRPr="00DB47A1">
        <w:rPr>
          <w:rFonts w:ascii="Arial" w:hAnsi="Arial" w:cs="Arial"/>
        </w:rPr>
        <w:t xml:space="preserve"> criminalise the buyer of sex and protect sex workers from abuse and exploitation. </w:t>
      </w:r>
    </w:p>
    <w:p w14:paraId="2AF571B0" w14:textId="11D5172B" w:rsidR="00A5450D" w:rsidRPr="00DB47A1" w:rsidRDefault="00DA53DB" w:rsidP="002A48C9">
      <w:pPr>
        <w:pStyle w:val="Heading2"/>
        <w:rPr>
          <w:rFonts w:ascii="Arial" w:hAnsi="Arial" w:cs="Arial"/>
        </w:rPr>
      </w:pPr>
      <w:r w:rsidRPr="00DB47A1">
        <w:rPr>
          <w:rFonts w:ascii="Arial" w:hAnsi="Arial" w:cs="Arial"/>
        </w:rPr>
        <w:t>Policing and Harm Reduction</w:t>
      </w:r>
    </w:p>
    <w:p w14:paraId="42EFBAB6" w14:textId="77777777" w:rsidR="007313AA" w:rsidRPr="00DB47A1" w:rsidRDefault="007313AA" w:rsidP="007313AA">
      <w:pPr>
        <w:rPr>
          <w:rFonts w:ascii="Arial" w:hAnsi="Arial" w:cs="Arial"/>
        </w:rPr>
      </w:pPr>
      <w:r w:rsidRPr="00DB47A1">
        <w:rPr>
          <w:rFonts w:ascii="Arial" w:hAnsi="Arial" w:cs="Arial"/>
        </w:rPr>
        <w:t xml:space="preserve">Under the current law the physical, housing and legal safety of sex workers is at risk. </w:t>
      </w:r>
    </w:p>
    <w:p w14:paraId="37AC2FC8" w14:textId="38978A9D" w:rsidR="005C16B8" w:rsidRPr="00DB47A1" w:rsidRDefault="009D1BAD" w:rsidP="007D6B3E">
      <w:pPr>
        <w:rPr>
          <w:rFonts w:ascii="Arial" w:hAnsi="Arial" w:cs="Arial"/>
        </w:rPr>
      </w:pPr>
      <w:r w:rsidRPr="00DB47A1">
        <w:rPr>
          <w:rFonts w:ascii="Arial" w:hAnsi="Arial" w:cs="Arial"/>
        </w:rPr>
        <w:t>Sex</w:t>
      </w:r>
      <w:r w:rsidR="00F32349" w:rsidRPr="00DB47A1">
        <w:rPr>
          <w:rFonts w:ascii="Arial" w:hAnsi="Arial" w:cs="Arial"/>
        </w:rPr>
        <w:t xml:space="preserve"> workers </w:t>
      </w:r>
      <w:r w:rsidR="007313AA" w:rsidRPr="00DB47A1">
        <w:rPr>
          <w:rFonts w:ascii="Arial" w:hAnsi="Arial" w:cs="Arial"/>
        </w:rPr>
        <w:t>have stated</w:t>
      </w:r>
      <w:r w:rsidR="00F32349" w:rsidRPr="00DB47A1">
        <w:rPr>
          <w:rFonts w:ascii="Arial" w:hAnsi="Arial" w:cs="Arial"/>
        </w:rPr>
        <w:t xml:space="preserve"> that </w:t>
      </w:r>
      <w:proofErr w:type="spellStart"/>
      <w:r w:rsidR="00F32349" w:rsidRPr="00DB47A1">
        <w:rPr>
          <w:rFonts w:ascii="Arial" w:hAnsi="Arial" w:cs="Arial"/>
        </w:rPr>
        <w:t>gardaí</w:t>
      </w:r>
      <w:proofErr w:type="spellEnd"/>
      <w:r w:rsidR="00F32349" w:rsidRPr="00DB47A1">
        <w:rPr>
          <w:rFonts w:ascii="Arial" w:hAnsi="Arial" w:cs="Arial"/>
        </w:rPr>
        <w:t xml:space="preserve"> investigating crimes related to sex work have been </w:t>
      </w:r>
      <w:r w:rsidR="00FE5C63" w:rsidRPr="00DB47A1">
        <w:rPr>
          <w:rFonts w:ascii="Arial" w:hAnsi="Arial" w:cs="Arial"/>
        </w:rPr>
        <w:t>retaining condoms found at the scene, as proof of sex work (see Policed in Ireland podcast, episode 2).</w:t>
      </w:r>
      <w:r w:rsidR="00B715F6" w:rsidRPr="00DB47A1">
        <w:rPr>
          <w:rStyle w:val="FootnoteReference"/>
          <w:rFonts w:ascii="Arial" w:hAnsi="Arial" w:cs="Arial"/>
        </w:rPr>
        <w:footnoteReference w:id="16"/>
      </w:r>
      <w:r w:rsidR="00FE5C63" w:rsidRPr="00DB47A1">
        <w:rPr>
          <w:rFonts w:ascii="Arial" w:hAnsi="Arial" w:cs="Arial"/>
        </w:rPr>
        <w:t xml:space="preserve"> This has</w:t>
      </w:r>
      <w:r w:rsidR="00744D06" w:rsidRPr="00DB47A1">
        <w:rPr>
          <w:rFonts w:ascii="Arial" w:hAnsi="Arial" w:cs="Arial"/>
        </w:rPr>
        <w:t xml:space="preserve"> </w:t>
      </w:r>
      <w:r w:rsidR="007770A0" w:rsidRPr="00DB47A1">
        <w:rPr>
          <w:rFonts w:ascii="Arial" w:hAnsi="Arial" w:cs="Arial"/>
        </w:rPr>
        <w:t>incentivise</w:t>
      </w:r>
      <w:r w:rsidR="000C57C2" w:rsidRPr="00DB47A1">
        <w:rPr>
          <w:rFonts w:ascii="Arial" w:hAnsi="Arial" w:cs="Arial"/>
        </w:rPr>
        <w:t>d</w:t>
      </w:r>
      <w:r w:rsidR="00744D06" w:rsidRPr="00DB47A1">
        <w:rPr>
          <w:rFonts w:ascii="Arial" w:hAnsi="Arial" w:cs="Arial"/>
        </w:rPr>
        <w:t xml:space="preserve"> clients to demand sex without condoms which has drastic consequences for the safety of the sex worker</w:t>
      </w:r>
      <w:r w:rsidR="00CF30AB" w:rsidRPr="00DB47A1">
        <w:rPr>
          <w:rFonts w:ascii="Arial" w:hAnsi="Arial" w:cs="Arial"/>
        </w:rPr>
        <w:t xml:space="preserve"> and for public health</w:t>
      </w:r>
      <w:r w:rsidR="00744D06" w:rsidRPr="00DB47A1">
        <w:rPr>
          <w:rFonts w:ascii="Arial" w:hAnsi="Arial" w:cs="Arial"/>
        </w:rPr>
        <w:t xml:space="preserve">. </w:t>
      </w:r>
      <w:r w:rsidR="007770A0" w:rsidRPr="00DB47A1">
        <w:rPr>
          <w:rFonts w:ascii="Arial" w:hAnsi="Arial" w:cs="Arial"/>
        </w:rPr>
        <w:t>S</w:t>
      </w:r>
      <w:r w:rsidR="004F1314" w:rsidRPr="00DB47A1">
        <w:rPr>
          <w:rFonts w:ascii="Arial" w:hAnsi="Arial" w:cs="Arial"/>
        </w:rPr>
        <w:t xml:space="preserve">ex workers </w:t>
      </w:r>
      <w:r w:rsidR="007770A0" w:rsidRPr="00DB47A1">
        <w:rPr>
          <w:rFonts w:ascii="Arial" w:hAnsi="Arial" w:cs="Arial"/>
        </w:rPr>
        <w:t>have also complained</w:t>
      </w:r>
      <w:r w:rsidR="004F1314" w:rsidRPr="00DB47A1">
        <w:rPr>
          <w:rFonts w:ascii="Arial" w:hAnsi="Arial" w:cs="Arial"/>
        </w:rPr>
        <w:t xml:space="preserve"> that </w:t>
      </w:r>
      <w:proofErr w:type="spellStart"/>
      <w:r w:rsidR="004F1314" w:rsidRPr="00DB47A1">
        <w:rPr>
          <w:rFonts w:ascii="Arial" w:hAnsi="Arial" w:cs="Arial"/>
        </w:rPr>
        <w:t>garda</w:t>
      </w:r>
      <w:r w:rsidR="002A48C9" w:rsidRPr="00DB47A1">
        <w:rPr>
          <w:rFonts w:ascii="Arial" w:hAnsi="Arial" w:cs="Arial"/>
        </w:rPr>
        <w:t>í</w:t>
      </w:r>
      <w:proofErr w:type="spellEnd"/>
      <w:r w:rsidR="004F1314" w:rsidRPr="00DB47A1">
        <w:rPr>
          <w:rFonts w:ascii="Arial" w:hAnsi="Arial" w:cs="Arial"/>
        </w:rPr>
        <w:t xml:space="preserve"> have </w:t>
      </w:r>
      <w:r w:rsidR="002A48C9" w:rsidRPr="00DB47A1">
        <w:rPr>
          <w:rFonts w:ascii="Arial" w:hAnsi="Arial" w:cs="Arial"/>
        </w:rPr>
        <w:t>worked with</w:t>
      </w:r>
      <w:r w:rsidR="004F1314" w:rsidRPr="00DB47A1">
        <w:rPr>
          <w:rFonts w:ascii="Arial" w:hAnsi="Arial" w:cs="Arial"/>
        </w:rPr>
        <w:t xml:space="preserve"> landlords to </w:t>
      </w:r>
      <w:r w:rsidR="002A7E6B" w:rsidRPr="00DB47A1">
        <w:rPr>
          <w:rFonts w:ascii="Arial" w:hAnsi="Arial" w:cs="Arial"/>
        </w:rPr>
        <w:t xml:space="preserve">facilitate the </w:t>
      </w:r>
      <w:r w:rsidR="004F1314" w:rsidRPr="00DB47A1">
        <w:rPr>
          <w:rFonts w:ascii="Arial" w:hAnsi="Arial" w:cs="Arial"/>
        </w:rPr>
        <w:t>evict</w:t>
      </w:r>
      <w:r w:rsidR="002A7E6B" w:rsidRPr="00DB47A1">
        <w:rPr>
          <w:rFonts w:ascii="Arial" w:hAnsi="Arial" w:cs="Arial"/>
        </w:rPr>
        <w:t>ion of</w:t>
      </w:r>
      <w:r w:rsidR="004F1314" w:rsidRPr="00DB47A1">
        <w:rPr>
          <w:rFonts w:ascii="Arial" w:hAnsi="Arial" w:cs="Arial"/>
        </w:rPr>
        <w:t xml:space="preserve"> sex workers from tenancies</w:t>
      </w:r>
      <w:r w:rsidR="002A7E6B" w:rsidRPr="00DB47A1">
        <w:rPr>
          <w:rFonts w:ascii="Arial" w:hAnsi="Arial" w:cs="Arial"/>
        </w:rPr>
        <w:t xml:space="preserve">. It is unclear why </w:t>
      </w:r>
      <w:r w:rsidR="002C1E0D" w:rsidRPr="00DB47A1">
        <w:rPr>
          <w:rFonts w:ascii="Arial" w:hAnsi="Arial" w:cs="Arial"/>
        </w:rPr>
        <w:t xml:space="preserve">the </w:t>
      </w:r>
      <w:proofErr w:type="spellStart"/>
      <w:r w:rsidR="002C1E0D" w:rsidRPr="00DB47A1">
        <w:rPr>
          <w:rFonts w:ascii="Arial" w:hAnsi="Arial" w:cs="Arial"/>
        </w:rPr>
        <w:t>garda</w:t>
      </w:r>
      <w:r w:rsidR="002A48C9" w:rsidRPr="00DB47A1">
        <w:rPr>
          <w:rFonts w:ascii="Arial" w:hAnsi="Arial" w:cs="Arial"/>
        </w:rPr>
        <w:t>í</w:t>
      </w:r>
      <w:proofErr w:type="spellEnd"/>
      <w:r w:rsidR="002C1E0D" w:rsidRPr="00DB47A1">
        <w:rPr>
          <w:rFonts w:ascii="Arial" w:hAnsi="Arial" w:cs="Arial"/>
        </w:rPr>
        <w:t xml:space="preserve"> </w:t>
      </w:r>
      <w:r w:rsidR="002A7E6B" w:rsidRPr="00DB47A1">
        <w:rPr>
          <w:rFonts w:ascii="Arial" w:hAnsi="Arial" w:cs="Arial"/>
        </w:rPr>
        <w:t>would facili</w:t>
      </w:r>
      <w:r w:rsidR="002C1E0D" w:rsidRPr="00DB47A1">
        <w:rPr>
          <w:rFonts w:ascii="Arial" w:hAnsi="Arial" w:cs="Arial"/>
        </w:rPr>
        <w:t>t</w:t>
      </w:r>
      <w:r w:rsidR="002A7E6B" w:rsidRPr="00DB47A1">
        <w:rPr>
          <w:rFonts w:ascii="Arial" w:hAnsi="Arial" w:cs="Arial"/>
        </w:rPr>
        <w:t xml:space="preserve">ate such evictions, and those evictions may well be the consequence of the status of sex work under Irish law. </w:t>
      </w:r>
    </w:p>
    <w:p w14:paraId="69E50733" w14:textId="793B8BDA" w:rsidR="0049185E" w:rsidRPr="00DB47A1" w:rsidRDefault="00DA53DB" w:rsidP="002A48C9">
      <w:pPr>
        <w:pStyle w:val="Heading2"/>
        <w:rPr>
          <w:rFonts w:ascii="Arial" w:hAnsi="Arial" w:cs="Arial"/>
        </w:rPr>
      </w:pPr>
      <w:r w:rsidRPr="00DB47A1">
        <w:rPr>
          <w:rFonts w:ascii="Arial" w:hAnsi="Arial" w:cs="Arial"/>
        </w:rPr>
        <w:t>Alternative Approaches</w:t>
      </w:r>
    </w:p>
    <w:p w14:paraId="564DADAB" w14:textId="27BD2E73" w:rsidR="0049185E" w:rsidRPr="00DB47A1" w:rsidRDefault="0049185E" w:rsidP="007D6B3E">
      <w:pPr>
        <w:rPr>
          <w:rFonts w:ascii="Arial" w:hAnsi="Arial" w:cs="Arial"/>
        </w:rPr>
      </w:pPr>
      <w:r w:rsidRPr="00DB47A1">
        <w:rPr>
          <w:rFonts w:ascii="Arial" w:hAnsi="Arial" w:cs="Arial"/>
        </w:rPr>
        <w:t xml:space="preserve">Protecting those who are vulnerable does not simply mean not prosecuting them. It requires further steps of providing them with the supports needed to live safer lives. This requires enabling the </w:t>
      </w:r>
      <w:r w:rsidR="003B07C7" w:rsidRPr="00DB47A1">
        <w:rPr>
          <w:rFonts w:ascii="Arial" w:hAnsi="Arial" w:cs="Arial"/>
        </w:rPr>
        <w:t>acces</w:t>
      </w:r>
      <w:r w:rsidR="002A48C9" w:rsidRPr="00DB47A1">
        <w:rPr>
          <w:rFonts w:ascii="Arial" w:hAnsi="Arial" w:cs="Arial"/>
        </w:rPr>
        <w:t>s</w:t>
      </w:r>
      <w:r w:rsidRPr="00DB47A1">
        <w:rPr>
          <w:rFonts w:ascii="Arial" w:hAnsi="Arial" w:cs="Arial"/>
        </w:rPr>
        <w:t xml:space="preserve"> of supports and services, reporting crimes committed to them. This is not practically possible while the law criminalises </w:t>
      </w:r>
      <w:r w:rsidR="000C57C2" w:rsidRPr="00DB47A1">
        <w:rPr>
          <w:rFonts w:ascii="Arial" w:hAnsi="Arial" w:cs="Arial"/>
        </w:rPr>
        <w:t>sex workers</w:t>
      </w:r>
      <w:r w:rsidRPr="00DB47A1">
        <w:rPr>
          <w:rFonts w:ascii="Arial" w:hAnsi="Arial" w:cs="Arial"/>
        </w:rPr>
        <w:t xml:space="preserve">. They will not report these issue whilst they fear being criminalised. </w:t>
      </w:r>
    </w:p>
    <w:p w14:paraId="202862FA" w14:textId="5B98CA04" w:rsidR="0049185E" w:rsidRPr="00DB47A1" w:rsidRDefault="0049185E" w:rsidP="007D6B3E">
      <w:pPr>
        <w:rPr>
          <w:rFonts w:ascii="Arial" w:hAnsi="Arial" w:cs="Arial"/>
        </w:rPr>
      </w:pPr>
      <w:r w:rsidRPr="00DB47A1">
        <w:rPr>
          <w:rFonts w:ascii="Arial" w:hAnsi="Arial" w:cs="Arial"/>
        </w:rPr>
        <w:t>However, criminalising the buyer has similar consequences:</w:t>
      </w:r>
      <w:r w:rsidR="00D92C84" w:rsidRPr="00DB47A1">
        <w:rPr>
          <w:rFonts w:ascii="Arial" w:hAnsi="Arial" w:cs="Arial"/>
        </w:rPr>
        <w:t xml:space="preserve"> sex workers</w:t>
      </w:r>
      <w:r w:rsidRPr="00DB47A1">
        <w:rPr>
          <w:rFonts w:ascii="Arial" w:hAnsi="Arial" w:cs="Arial"/>
        </w:rPr>
        <w:t xml:space="preserve"> will not report to the police if this will drive away the buyer, their sole source of income and survival. </w:t>
      </w:r>
    </w:p>
    <w:p w14:paraId="54EDFFE1" w14:textId="7EAEEF8E" w:rsidR="0049185E" w:rsidRPr="00DB47A1" w:rsidRDefault="00AE5423" w:rsidP="007D6B3E">
      <w:pPr>
        <w:rPr>
          <w:rFonts w:ascii="Arial" w:hAnsi="Arial" w:cs="Arial"/>
        </w:rPr>
      </w:pPr>
      <w:r w:rsidRPr="00DB47A1">
        <w:rPr>
          <w:rFonts w:ascii="Arial" w:hAnsi="Arial" w:cs="Arial"/>
        </w:rPr>
        <w:t xml:space="preserve">Alternative approaches </w:t>
      </w:r>
      <w:r w:rsidR="00DB3929" w:rsidRPr="00DB47A1">
        <w:rPr>
          <w:rFonts w:ascii="Arial" w:hAnsi="Arial" w:cs="Arial"/>
        </w:rPr>
        <w:t>can generate enhanced safety for the sex worker.</w:t>
      </w:r>
      <w:r w:rsidR="000240CA" w:rsidRPr="00DB47A1">
        <w:rPr>
          <w:rFonts w:ascii="Arial" w:hAnsi="Arial" w:cs="Arial"/>
        </w:rPr>
        <w:t xml:space="preserve"> </w:t>
      </w:r>
      <w:r w:rsidR="0049185E" w:rsidRPr="00DB47A1">
        <w:rPr>
          <w:rFonts w:ascii="Arial" w:hAnsi="Arial" w:cs="Arial"/>
        </w:rPr>
        <w:t>Research supports this position. Published in the British Journal of Criminology, Armstrong has written of how, after full decriminalisation of both buyer and seller occurred in New Zealand:</w:t>
      </w:r>
    </w:p>
    <w:p w14:paraId="4B4D0442" w14:textId="75C34C45" w:rsidR="0049185E" w:rsidRPr="00DB47A1" w:rsidRDefault="0049185E" w:rsidP="0049185E">
      <w:pPr>
        <w:pStyle w:val="ListParagraph"/>
        <w:numPr>
          <w:ilvl w:val="0"/>
          <w:numId w:val="2"/>
        </w:numPr>
        <w:rPr>
          <w:rFonts w:ascii="Arial" w:hAnsi="Arial" w:cs="Arial"/>
        </w:rPr>
      </w:pPr>
      <w:r w:rsidRPr="00DB47A1">
        <w:rPr>
          <w:rFonts w:ascii="Arial" w:hAnsi="Arial" w:cs="Arial"/>
        </w:rPr>
        <w:t>crimes against sex workers were more likely to be solved</w:t>
      </w:r>
      <w:r w:rsidR="000C42FD" w:rsidRPr="00DB47A1">
        <w:rPr>
          <w:rFonts w:ascii="Arial" w:hAnsi="Arial" w:cs="Arial"/>
        </w:rPr>
        <w:t>;</w:t>
      </w:r>
    </w:p>
    <w:p w14:paraId="3D576933" w14:textId="6051E5DB" w:rsidR="0049185E" w:rsidRPr="00DB47A1" w:rsidRDefault="0049185E" w:rsidP="0049185E">
      <w:pPr>
        <w:pStyle w:val="ListParagraph"/>
        <w:numPr>
          <w:ilvl w:val="0"/>
          <w:numId w:val="2"/>
        </w:numPr>
        <w:rPr>
          <w:rFonts w:ascii="Arial" w:hAnsi="Arial" w:cs="Arial"/>
        </w:rPr>
      </w:pPr>
      <w:r w:rsidRPr="00DB47A1">
        <w:rPr>
          <w:rFonts w:ascii="Arial" w:hAnsi="Arial" w:cs="Arial"/>
        </w:rPr>
        <w:t>perpetrators of such crimes received lengthier sentences</w:t>
      </w:r>
      <w:r w:rsidR="000C42FD" w:rsidRPr="00DB47A1">
        <w:rPr>
          <w:rFonts w:ascii="Arial" w:hAnsi="Arial" w:cs="Arial"/>
        </w:rPr>
        <w:t>;</w:t>
      </w:r>
    </w:p>
    <w:p w14:paraId="5DE8F7A5" w14:textId="40EBE6E3" w:rsidR="007A3F86" w:rsidRPr="00DB47A1" w:rsidRDefault="007A3F86" w:rsidP="0049185E">
      <w:pPr>
        <w:pStyle w:val="ListParagraph"/>
        <w:numPr>
          <w:ilvl w:val="0"/>
          <w:numId w:val="2"/>
        </w:numPr>
        <w:rPr>
          <w:rFonts w:ascii="Arial" w:hAnsi="Arial" w:cs="Arial"/>
        </w:rPr>
      </w:pPr>
      <w:r w:rsidRPr="00DB47A1">
        <w:rPr>
          <w:rFonts w:ascii="Arial" w:hAnsi="Arial" w:cs="Arial"/>
        </w:rPr>
        <w:t xml:space="preserve">positive relationships between police and sex workers were </w:t>
      </w:r>
      <w:r w:rsidR="000B3A81" w:rsidRPr="00DB47A1">
        <w:rPr>
          <w:rFonts w:ascii="Arial" w:hAnsi="Arial" w:cs="Arial"/>
        </w:rPr>
        <w:t>achieved</w:t>
      </w:r>
      <w:r w:rsidRPr="00DB47A1">
        <w:rPr>
          <w:rFonts w:ascii="Arial" w:hAnsi="Arial" w:cs="Arial"/>
        </w:rPr>
        <w:t>, enabling sex workers to report crimes and share information</w:t>
      </w:r>
      <w:r w:rsidR="000C42FD" w:rsidRPr="00DB47A1">
        <w:rPr>
          <w:rFonts w:ascii="Arial" w:hAnsi="Arial" w:cs="Arial"/>
        </w:rPr>
        <w:t>;</w:t>
      </w:r>
    </w:p>
    <w:p w14:paraId="4D381D92" w14:textId="2AE0DB80" w:rsidR="00AE5423" w:rsidRPr="00DB47A1" w:rsidRDefault="002A48C9" w:rsidP="000C42FD">
      <w:pPr>
        <w:pStyle w:val="ListParagraph"/>
        <w:numPr>
          <w:ilvl w:val="0"/>
          <w:numId w:val="2"/>
        </w:numPr>
        <w:rPr>
          <w:rFonts w:ascii="Arial" w:hAnsi="Arial" w:cs="Arial"/>
        </w:rPr>
      </w:pPr>
      <w:r w:rsidRPr="00DB47A1">
        <w:rPr>
          <w:rFonts w:ascii="Arial" w:hAnsi="Arial" w:cs="Arial"/>
        </w:rPr>
        <w:t>eventually</w:t>
      </w:r>
      <w:r w:rsidR="007A3F86" w:rsidRPr="00DB47A1">
        <w:rPr>
          <w:rFonts w:ascii="Arial" w:hAnsi="Arial" w:cs="Arial"/>
        </w:rPr>
        <w:t xml:space="preserve"> led to safer conditions for sex wo</w:t>
      </w:r>
      <w:r w:rsidR="000C42FD" w:rsidRPr="00DB47A1">
        <w:rPr>
          <w:rFonts w:ascii="Arial" w:hAnsi="Arial" w:cs="Arial"/>
        </w:rPr>
        <w:t>r</w:t>
      </w:r>
      <w:r w:rsidR="007A3F86" w:rsidRPr="00DB47A1">
        <w:rPr>
          <w:rFonts w:ascii="Arial" w:hAnsi="Arial" w:cs="Arial"/>
        </w:rPr>
        <w:t>kers.</w:t>
      </w:r>
      <w:r w:rsidR="007A3F86" w:rsidRPr="00DB47A1">
        <w:rPr>
          <w:rStyle w:val="FootnoteReference"/>
          <w:rFonts w:ascii="Arial" w:hAnsi="Arial" w:cs="Arial"/>
        </w:rPr>
        <w:footnoteReference w:id="17"/>
      </w:r>
    </w:p>
    <w:p w14:paraId="5F8907A6" w14:textId="43CFB1AF" w:rsidR="00D15BB4" w:rsidRPr="00DB47A1" w:rsidRDefault="000C42FD" w:rsidP="00AE5423">
      <w:pPr>
        <w:rPr>
          <w:rFonts w:ascii="Arial" w:hAnsi="Arial" w:cs="Arial"/>
        </w:rPr>
      </w:pPr>
      <w:r w:rsidRPr="00DB47A1">
        <w:rPr>
          <w:rFonts w:ascii="Arial" w:hAnsi="Arial" w:cs="Arial"/>
        </w:rPr>
        <w:t xml:space="preserve">In </w:t>
      </w:r>
      <w:r w:rsidR="00AE5423" w:rsidRPr="00DB47A1">
        <w:rPr>
          <w:rFonts w:ascii="Arial" w:hAnsi="Arial" w:cs="Arial"/>
        </w:rPr>
        <w:t>Liverpool</w:t>
      </w:r>
      <w:r w:rsidR="0004171E" w:rsidRPr="00DB47A1">
        <w:rPr>
          <w:rFonts w:ascii="Arial" w:hAnsi="Arial" w:cs="Arial"/>
        </w:rPr>
        <w:t xml:space="preserve"> attacks against sex workers were declared a ‘hate crime’ in 2006</w:t>
      </w:r>
      <w:r w:rsidRPr="00DB47A1">
        <w:rPr>
          <w:rFonts w:ascii="Arial" w:hAnsi="Arial" w:cs="Arial"/>
        </w:rPr>
        <w:t xml:space="preserve"> by Merseyside Police</w:t>
      </w:r>
      <w:r w:rsidR="0004171E" w:rsidRPr="00DB47A1">
        <w:rPr>
          <w:rFonts w:ascii="Arial" w:hAnsi="Arial" w:cs="Arial"/>
        </w:rPr>
        <w:t xml:space="preserve"> and the impact has been hugely positive. </w:t>
      </w:r>
      <w:r w:rsidR="00E46D14" w:rsidRPr="00DB47A1">
        <w:rPr>
          <w:rFonts w:ascii="Arial" w:hAnsi="Arial" w:cs="Arial"/>
        </w:rPr>
        <w:t>E</w:t>
      </w:r>
      <w:r w:rsidR="000240CA" w:rsidRPr="00DB47A1">
        <w:rPr>
          <w:rFonts w:ascii="Arial" w:hAnsi="Arial" w:cs="Arial"/>
        </w:rPr>
        <w:t>l</w:t>
      </w:r>
      <w:r w:rsidR="00E46D14" w:rsidRPr="00DB47A1">
        <w:rPr>
          <w:rFonts w:ascii="Arial" w:hAnsi="Arial" w:cs="Arial"/>
        </w:rPr>
        <w:t xml:space="preserve">lison and </w:t>
      </w:r>
      <w:r w:rsidR="00700357" w:rsidRPr="00DB47A1">
        <w:rPr>
          <w:rFonts w:ascii="Arial" w:hAnsi="Arial" w:cs="Arial"/>
        </w:rPr>
        <w:t>Smith have written about this.</w:t>
      </w:r>
      <w:r w:rsidR="00700357" w:rsidRPr="00DB47A1">
        <w:rPr>
          <w:rStyle w:val="FootnoteReference"/>
          <w:rFonts w:ascii="Arial" w:hAnsi="Arial" w:cs="Arial"/>
        </w:rPr>
        <w:footnoteReference w:id="18"/>
      </w:r>
    </w:p>
    <w:p w14:paraId="11E06A75" w14:textId="17540D71" w:rsidR="0030300B" w:rsidRPr="00DB47A1" w:rsidRDefault="0030300B" w:rsidP="00AE5423">
      <w:pPr>
        <w:rPr>
          <w:rFonts w:ascii="Arial" w:hAnsi="Arial" w:cs="Arial"/>
        </w:rPr>
      </w:pPr>
      <w:r w:rsidRPr="00DB47A1">
        <w:rPr>
          <w:rFonts w:ascii="Arial" w:hAnsi="Arial" w:cs="Arial"/>
        </w:rPr>
        <w:t xml:space="preserve">We acknowledge the intersection between this issue and that of human trafficking and exploitation. </w:t>
      </w:r>
      <w:r w:rsidR="006B028D" w:rsidRPr="00DB47A1">
        <w:rPr>
          <w:rFonts w:ascii="Arial" w:hAnsi="Arial" w:cs="Arial"/>
        </w:rPr>
        <w:t xml:space="preserve">However, for all of the reasons outlined above we do not believe that the current laws enhance the safety of trafficked and exploited persons. Further, there is already a legislative framework </w:t>
      </w:r>
      <w:r w:rsidR="003F3EB6" w:rsidRPr="00DB47A1">
        <w:rPr>
          <w:rFonts w:ascii="Arial" w:hAnsi="Arial" w:cs="Arial"/>
        </w:rPr>
        <w:t>under which those crimes can be prosecuted</w:t>
      </w:r>
      <w:r w:rsidR="009E205C" w:rsidRPr="00DB47A1">
        <w:rPr>
          <w:rFonts w:ascii="Arial" w:hAnsi="Arial" w:cs="Arial"/>
        </w:rPr>
        <w:t>. If it is the case that this is not proving effective, it should be revised</w:t>
      </w:r>
      <w:r w:rsidR="003F3EB6" w:rsidRPr="00DB47A1">
        <w:rPr>
          <w:rFonts w:ascii="Arial" w:hAnsi="Arial" w:cs="Arial"/>
        </w:rPr>
        <w:t>.</w:t>
      </w:r>
      <w:r w:rsidR="006F02E8" w:rsidRPr="00DB47A1">
        <w:rPr>
          <w:rFonts w:ascii="Arial" w:hAnsi="Arial" w:cs="Arial"/>
        </w:rPr>
        <w:t xml:space="preserve"> The answer is not </w:t>
      </w:r>
      <w:r w:rsidR="003F3EB6" w:rsidRPr="00DB47A1">
        <w:rPr>
          <w:rFonts w:ascii="Arial" w:hAnsi="Arial" w:cs="Arial"/>
        </w:rPr>
        <w:t>to conflate these</w:t>
      </w:r>
      <w:r w:rsidR="006F02E8" w:rsidRPr="00DB47A1">
        <w:rPr>
          <w:rFonts w:ascii="Arial" w:hAnsi="Arial" w:cs="Arial"/>
        </w:rPr>
        <w:t xml:space="preserve"> two</w:t>
      </w:r>
      <w:r w:rsidR="003F3EB6" w:rsidRPr="00DB47A1">
        <w:rPr>
          <w:rFonts w:ascii="Arial" w:hAnsi="Arial" w:cs="Arial"/>
        </w:rPr>
        <w:t xml:space="preserve"> issue</w:t>
      </w:r>
      <w:r w:rsidR="006F02E8" w:rsidRPr="00DB47A1">
        <w:rPr>
          <w:rFonts w:ascii="Arial" w:hAnsi="Arial" w:cs="Arial"/>
        </w:rPr>
        <w:t>s.</w:t>
      </w:r>
      <w:r w:rsidR="003F3EB6" w:rsidRPr="00DB47A1">
        <w:rPr>
          <w:rFonts w:ascii="Arial" w:hAnsi="Arial" w:cs="Arial"/>
        </w:rPr>
        <w:t xml:space="preserve"> </w:t>
      </w:r>
    </w:p>
    <w:p w14:paraId="7C086748" w14:textId="5475BC90" w:rsidR="00B16F80" w:rsidRPr="00DB47A1" w:rsidRDefault="00575874" w:rsidP="00B16F80">
      <w:pPr>
        <w:rPr>
          <w:rFonts w:ascii="Arial" w:hAnsi="Arial" w:cs="Arial"/>
        </w:rPr>
      </w:pPr>
      <w:r w:rsidRPr="00DB47A1">
        <w:rPr>
          <w:rFonts w:ascii="Arial" w:hAnsi="Arial" w:cs="Arial"/>
        </w:rPr>
        <w:t>C</w:t>
      </w:r>
      <w:r w:rsidR="00235E4D" w:rsidRPr="00DB47A1">
        <w:rPr>
          <w:rFonts w:ascii="Arial" w:hAnsi="Arial" w:cs="Arial"/>
        </w:rPr>
        <w:t xml:space="preserve">oncerns that the endorsement of sex work may contribute to </w:t>
      </w:r>
      <w:r w:rsidR="00927DBD" w:rsidRPr="00DB47A1">
        <w:rPr>
          <w:rFonts w:ascii="Arial" w:hAnsi="Arial" w:cs="Arial"/>
        </w:rPr>
        <w:t xml:space="preserve">a </w:t>
      </w:r>
      <w:r w:rsidR="00235E4D" w:rsidRPr="00DB47A1">
        <w:rPr>
          <w:rFonts w:ascii="Arial" w:hAnsi="Arial" w:cs="Arial"/>
        </w:rPr>
        <w:t>culture of c</w:t>
      </w:r>
      <w:r w:rsidR="002201A5" w:rsidRPr="00DB47A1">
        <w:rPr>
          <w:rFonts w:ascii="Arial" w:hAnsi="Arial" w:cs="Arial"/>
        </w:rPr>
        <w:t>om</w:t>
      </w:r>
      <w:r w:rsidR="00235E4D" w:rsidRPr="00DB47A1">
        <w:rPr>
          <w:rFonts w:ascii="Arial" w:hAnsi="Arial" w:cs="Arial"/>
        </w:rPr>
        <w:t>m</w:t>
      </w:r>
      <w:r w:rsidR="00404EF8" w:rsidRPr="00DB47A1">
        <w:rPr>
          <w:rFonts w:ascii="Arial" w:hAnsi="Arial" w:cs="Arial"/>
        </w:rPr>
        <w:t>o</w:t>
      </w:r>
      <w:r w:rsidR="00235E4D" w:rsidRPr="00DB47A1">
        <w:rPr>
          <w:rFonts w:ascii="Arial" w:hAnsi="Arial" w:cs="Arial"/>
        </w:rPr>
        <w:t>d</w:t>
      </w:r>
      <w:r w:rsidR="002201A5" w:rsidRPr="00DB47A1">
        <w:rPr>
          <w:rFonts w:ascii="Arial" w:hAnsi="Arial" w:cs="Arial"/>
        </w:rPr>
        <w:t>i</w:t>
      </w:r>
      <w:r w:rsidR="00235E4D" w:rsidRPr="00DB47A1">
        <w:rPr>
          <w:rFonts w:ascii="Arial" w:hAnsi="Arial" w:cs="Arial"/>
        </w:rPr>
        <w:t>fication of women’s bodies and</w:t>
      </w:r>
      <w:r w:rsidR="00D54F46" w:rsidRPr="00DB47A1">
        <w:rPr>
          <w:rFonts w:ascii="Arial" w:hAnsi="Arial" w:cs="Arial"/>
        </w:rPr>
        <w:t xml:space="preserve"> thereby, rape culture, are legitimate. </w:t>
      </w:r>
      <w:r w:rsidR="003E597E" w:rsidRPr="00DB47A1">
        <w:rPr>
          <w:rFonts w:ascii="Arial" w:hAnsi="Arial" w:cs="Arial"/>
        </w:rPr>
        <w:t xml:space="preserve">Indeed, some of us were initially </w:t>
      </w:r>
      <w:r w:rsidR="0038259B" w:rsidRPr="00DB47A1">
        <w:rPr>
          <w:rFonts w:ascii="Arial" w:hAnsi="Arial" w:cs="Arial"/>
        </w:rPr>
        <w:t>attracted</w:t>
      </w:r>
      <w:r w:rsidR="003E597E" w:rsidRPr="00DB47A1">
        <w:rPr>
          <w:rFonts w:ascii="Arial" w:hAnsi="Arial" w:cs="Arial"/>
        </w:rPr>
        <w:t xml:space="preserve"> by the feminist ideals underpinning the Nordic Model. However, as feminists, we </w:t>
      </w:r>
      <w:r w:rsidR="002D261B" w:rsidRPr="00DB47A1">
        <w:rPr>
          <w:rFonts w:ascii="Arial" w:hAnsi="Arial" w:cs="Arial"/>
        </w:rPr>
        <w:t xml:space="preserve">also </w:t>
      </w:r>
      <w:r w:rsidR="00D15BB4" w:rsidRPr="00DB47A1">
        <w:rPr>
          <w:rFonts w:ascii="Arial" w:hAnsi="Arial" w:cs="Arial"/>
        </w:rPr>
        <w:t xml:space="preserve">know </w:t>
      </w:r>
      <w:r w:rsidR="002D261B" w:rsidRPr="00DB47A1">
        <w:rPr>
          <w:rFonts w:ascii="Arial" w:hAnsi="Arial" w:cs="Arial"/>
        </w:rPr>
        <w:t>the importance of finding out</w:t>
      </w:r>
      <w:r w:rsidR="009A32BA" w:rsidRPr="00DB47A1">
        <w:rPr>
          <w:rFonts w:ascii="Arial" w:hAnsi="Arial" w:cs="Arial"/>
        </w:rPr>
        <w:t xml:space="preserve"> how the law is experienced by those subjected to it</w:t>
      </w:r>
      <w:r w:rsidR="0038259B" w:rsidRPr="00DB47A1">
        <w:rPr>
          <w:rFonts w:ascii="Arial" w:hAnsi="Arial" w:cs="Arial"/>
        </w:rPr>
        <w:t xml:space="preserve">, especially when we are talking about marginalised people operating in a highly gendered and racialised </w:t>
      </w:r>
      <w:r w:rsidR="007A7349" w:rsidRPr="00DB47A1">
        <w:rPr>
          <w:rFonts w:ascii="Arial" w:hAnsi="Arial" w:cs="Arial"/>
        </w:rPr>
        <w:t>field</w:t>
      </w:r>
      <w:r w:rsidR="009A32BA" w:rsidRPr="00DB47A1">
        <w:rPr>
          <w:rFonts w:ascii="Arial" w:hAnsi="Arial" w:cs="Arial"/>
        </w:rPr>
        <w:t xml:space="preserve">. </w:t>
      </w:r>
      <w:r w:rsidR="004C354A" w:rsidRPr="00DB47A1">
        <w:rPr>
          <w:rFonts w:ascii="Arial" w:hAnsi="Arial" w:cs="Arial"/>
        </w:rPr>
        <w:t xml:space="preserve">Theory and practice do not match on this occasion. </w:t>
      </w:r>
      <w:r w:rsidR="009A32BA" w:rsidRPr="00DB47A1">
        <w:rPr>
          <w:rFonts w:ascii="Arial" w:hAnsi="Arial" w:cs="Arial"/>
        </w:rPr>
        <w:t xml:space="preserve">We </w:t>
      </w:r>
      <w:r w:rsidR="0038259B" w:rsidRPr="00DB47A1">
        <w:rPr>
          <w:rFonts w:ascii="Arial" w:hAnsi="Arial" w:cs="Arial"/>
        </w:rPr>
        <w:t>are convinced</w:t>
      </w:r>
      <w:r w:rsidR="00D15BB4" w:rsidRPr="00DB47A1">
        <w:rPr>
          <w:rFonts w:ascii="Arial" w:hAnsi="Arial" w:cs="Arial"/>
        </w:rPr>
        <w:t>, from listening</w:t>
      </w:r>
      <w:r w:rsidR="00E96EFA" w:rsidRPr="00DB47A1">
        <w:rPr>
          <w:rFonts w:ascii="Arial" w:hAnsi="Arial" w:cs="Arial"/>
        </w:rPr>
        <w:t xml:space="preserve"> to</w:t>
      </w:r>
      <w:r w:rsidR="00D15BB4" w:rsidRPr="00DB47A1">
        <w:rPr>
          <w:rFonts w:ascii="Arial" w:hAnsi="Arial" w:cs="Arial"/>
        </w:rPr>
        <w:t xml:space="preserve"> and reading sex workers’ accounts of their experiences, </w:t>
      </w:r>
      <w:r w:rsidR="0038259B" w:rsidRPr="00DB47A1">
        <w:rPr>
          <w:rFonts w:ascii="Arial" w:hAnsi="Arial" w:cs="Arial"/>
        </w:rPr>
        <w:t>that the</w:t>
      </w:r>
      <w:r w:rsidR="00D54F46" w:rsidRPr="00DB47A1">
        <w:rPr>
          <w:rFonts w:ascii="Arial" w:hAnsi="Arial" w:cs="Arial"/>
        </w:rPr>
        <w:t xml:space="preserve"> </w:t>
      </w:r>
      <w:r w:rsidR="007A7349" w:rsidRPr="00DB47A1">
        <w:rPr>
          <w:rFonts w:ascii="Arial" w:hAnsi="Arial" w:cs="Arial"/>
        </w:rPr>
        <w:t xml:space="preserve">2017 Act and how it is policed </w:t>
      </w:r>
      <w:r w:rsidR="00D54F46" w:rsidRPr="00DB47A1">
        <w:rPr>
          <w:rFonts w:ascii="Arial" w:hAnsi="Arial" w:cs="Arial"/>
        </w:rPr>
        <w:t xml:space="preserve">have </w:t>
      </w:r>
      <w:r w:rsidR="007A7349" w:rsidRPr="00DB47A1">
        <w:rPr>
          <w:rFonts w:ascii="Arial" w:hAnsi="Arial" w:cs="Arial"/>
        </w:rPr>
        <w:t>not lead to greater protection of sex workers or greater equality of women and girls. Instead they have</w:t>
      </w:r>
      <w:r w:rsidR="00D54F46" w:rsidRPr="00DB47A1">
        <w:rPr>
          <w:rFonts w:ascii="Arial" w:hAnsi="Arial" w:cs="Arial"/>
        </w:rPr>
        <w:t xml:space="preserve"> increased the </w:t>
      </w:r>
      <w:r w:rsidR="003E597E" w:rsidRPr="00DB47A1">
        <w:rPr>
          <w:rFonts w:ascii="Arial" w:hAnsi="Arial" w:cs="Arial"/>
        </w:rPr>
        <w:t xml:space="preserve">threats faced by </w:t>
      </w:r>
      <w:r w:rsidR="00D54F46" w:rsidRPr="00DB47A1">
        <w:rPr>
          <w:rFonts w:ascii="Arial" w:hAnsi="Arial" w:cs="Arial"/>
        </w:rPr>
        <w:t xml:space="preserve">sex workers </w:t>
      </w:r>
      <w:r w:rsidR="0098730E" w:rsidRPr="00DB47A1">
        <w:rPr>
          <w:rFonts w:ascii="Arial" w:hAnsi="Arial" w:cs="Arial"/>
        </w:rPr>
        <w:t>and increases their marginalisation</w:t>
      </w:r>
      <w:r w:rsidR="005F44E2" w:rsidRPr="00DB47A1">
        <w:rPr>
          <w:rFonts w:ascii="Arial" w:hAnsi="Arial" w:cs="Arial"/>
        </w:rPr>
        <w:t xml:space="preserve">. Criminalisation neither reduces the occurrence of </w:t>
      </w:r>
      <w:r w:rsidR="001C39B4" w:rsidRPr="00DB47A1">
        <w:rPr>
          <w:rFonts w:ascii="Arial" w:hAnsi="Arial" w:cs="Arial"/>
        </w:rPr>
        <w:t xml:space="preserve">sex </w:t>
      </w:r>
      <w:r w:rsidR="005F44E2" w:rsidRPr="00DB47A1">
        <w:rPr>
          <w:rFonts w:ascii="Arial" w:hAnsi="Arial" w:cs="Arial"/>
        </w:rPr>
        <w:t xml:space="preserve">work nor the danger that those involved in it face. </w:t>
      </w:r>
      <w:r w:rsidR="00BA64B3" w:rsidRPr="00DB47A1">
        <w:rPr>
          <w:rFonts w:ascii="Arial" w:hAnsi="Arial" w:cs="Arial"/>
        </w:rPr>
        <w:t xml:space="preserve">Nor has it reduced the </w:t>
      </w:r>
      <w:r w:rsidR="001C39B4" w:rsidRPr="00DB47A1">
        <w:rPr>
          <w:rFonts w:ascii="Arial" w:hAnsi="Arial" w:cs="Arial"/>
        </w:rPr>
        <w:t xml:space="preserve">incidence </w:t>
      </w:r>
      <w:r w:rsidR="00BA64B3" w:rsidRPr="00DB47A1">
        <w:rPr>
          <w:rFonts w:ascii="Arial" w:hAnsi="Arial" w:cs="Arial"/>
        </w:rPr>
        <w:t>of sexual violence</w:t>
      </w:r>
      <w:r w:rsidR="001C39B4" w:rsidRPr="00DB47A1">
        <w:rPr>
          <w:rFonts w:ascii="Arial" w:hAnsi="Arial" w:cs="Arial"/>
        </w:rPr>
        <w:t xml:space="preserve"> </w:t>
      </w:r>
      <w:r w:rsidR="00BA64B3" w:rsidRPr="00DB47A1">
        <w:rPr>
          <w:rFonts w:ascii="Arial" w:hAnsi="Arial" w:cs="Arial"/>
        </w:rPr>
        <w:t xml:space="preserve">in society. </w:t>
      </w:r>
    </w:p>
    <w:p w14:paraId="45E42D92" w14:textId="1DDDBBC7" w:rsidR="00536B44" w:rsidRPr="00DB47A1" w:rsidRDefault="002A48C9" w:rsidP="00C27A4C">
      <w:pPr>
        <w:rPr>
          <w:rFonts w:ascii="Arial" w:hAnsi="Arial" w:cs="Arial"/>
        </w:rPr>
      </w:pPr>
      <w:r w:rsidRPr="00DB47A1">
        <w:rPr>
          <w:rFonts w:ascii="Arial" w:hAnsi="Arial" w:cs="Arial"/>
        </w:rPr>
        <w:t>T</w:t>
      </w:r>
      <w:r w:rsidR="008B1303" w:rsidRPr="00DB47A1">
        <w:rPr>
          <w:rFonts w:ascii="Arial" w:hAnsi="Arial" w:cs="Arial"/>
        </w:rPr>
        <w:t xml:space="preserve">he </w:t>
      </w:r>
      <w:r w:rsidRPr="00DB47A1">
        <w:rPr>
          <w:rFonts w:ascii="Arial" w:hAnsi="Arial" w:cs="Arial"/>
        </w:rPr>
        <w:t>S</w:t>
      </w:r>
      <w:r w:rsidR="008B1303" w:rsidRPr="00DB47A1">
        <w:rPr>
          <w:rFonts w:ascii="Arial" w:hAnsi="Arial" w:cs="Arial"/>
        </w:rPr>
        <w:t>tate</w:t>
      </w:r>
      <w:r w:rsidRPr="00DB47A1">
        <w:rPr>
          <w:rFonts w:ascii="Arial" w:hAnsi="Arial" w:cs="Arial"/>
        </w:rPr>
        <w:t>’s</w:t>
      </w:r>
      <w:r w:rsidR="008B1303" w:rsidRPr="00DB47A1">
        <w:rPr>
          <w:rFonts w:ascii="Arial" w:hAnsi="Arial" w:cs="Arial"/>
        </w:rPr>
        <w:t xml:space="preserve"> obligations</w:t>
      </w:r>
      <w:r w:rsidR="00E5472F" w:rsidRPr="00DB47A1">
        <w:rPr>
          <w:rFonts w:ascii="Arial" w:hAnsi="Arial" w:cs="Arial"/>
        </w:rPr>
        <w:t xml:space="preserve"> to protect its subjects</w:t>
      </w:r>
      <w:r w:rsidR="004C354A" w:rsidRPr="00DB47A1">
        <w:rPr>
          <w:rFonts w:ascii="Arial" w:hAnsi="Arial" w:cs="Arial"/>
        </w:rPr>
        <w:t xml:space="preserve"> require</w:t>
      </w:r>
      <w:r w:rsidR="008B1303" w:rsidRPr="00DB47A1">
        <w:rPr>
          <w:rFonts w:ascii="Arial" w:hAnsi="Arial" w:cs="Arial"/>
        </w:rPr>
        <w:t xml:space="preserve"> an approach</w:t>
      </w:r>
      <w:r w:rsidR="004C354A" w:rsidRPr="00DB47A1">
        <w:rPr>
          <w:rFonts w:ascii="Arial" w:hAnsi="Arial" w:cs="Arial"/>
        </w:rPr>
        <w:t xml:space="preserve"> that</w:t>
      </w:r>
      <w:r w:rsidR="008B1303" w:rsidRPr="00DB47A1">
        <w:rPr>
          <w:rFonts w:ascii="Arial" w:hAnsi="Arial" w:cs="Arial"/>
        </w:rPr>
        <w:t xml:space="preserve"> prioritises the safety of </w:t>
      </w:r>
      <w:r w:rsidR="00AF0FD1" w:rsidRPr="00DB47A1">
        <w:rPr>
          <w:rFonts w:ascii="Arial" w:hAnsi="Arial" w:cs="Arial"/>
        </w:rPr>
        <w:t>sex workers</w:t>
      </w:r>
      <w:r w:rsidR="008B1303" w:rsidRPr="00DB47A1">
        <w:rPr>
          <w:rFonts w:ascii="Arial" w:hAnsi="Arial" w:cs="Arial"/>
        </w:rPr>
        <w:t xml:space="preserve">, while </w:t>
      </w:r>
      <w:r w:rsidR="0038259B" w:rsidRPr="00DB47A1">
        <w:rPr>
          <w:rFonts w:ascii="Arial" w:hAnsi="Arial" w:cs="Arial"/>
        </w:rPr>
        <w:t>s</w:t>
      </w:r>
      <w:r w:rsidR="008B1303" w:rsidRPr="00DB47A1">
        <w:rPr>
          <w:rFonts w:ascii="Arial" w:hAnsi="Arial" w:cs="Arial"/>
        </w:rPr>
        <w:t>upporti</w:t>
      </w:r>
      <w:r w:rsidR="0038259B" w:rsidRPr="00DB47A1">
        <w:rPr>
          <w:rFonts w:ascii="Arial" w:hAnsi="Arial" w:cs="Arial"/>
        </w:rPr>
        <w:t>n</w:t>
      </w:r>
      <w:r w:rsidR="008B1303" w:rsidRPr="00DB47A1">
        <w:rPr>
          <w:rFonts w:ascii="Arial" w:hAnsi="Arial" w:cs="Arial"/>
        </w:rPr>
        <w:t xml:space="preserve">g and </w:t>
      </w:r>
      <w:r w:rsidR="00AF0FD1" w:rsidRPr="00DB47A1">
        <w:rPr>
          <w:rFonts w:ascii="Arial" w:hAnsi="Arial" w:cs="Arial"/>
        </w:rPr>
        <w:t xml:space="preserve">facilitating </w:t>
      </w:r>
      <w:r w:rsidR="008B1303" w:rsidRPr="00DB47A1">
        <w:rPr>
          <w:rFonts w:ascii="Arial" w:hAnsi="Arial" w:cs="Arial"/>
        </w:rPr>
        <w:t>their withdrawal from this industry</w:t>
      </w:r>
      <w:r w:rsidR="006C7B50" w:rsidRPr="00DB47A1">
        <w:rPr>
          <w:rFonts w:ascii="Arial" w:hAnsi="Arial" w:cs="Arial"/>
        </w:rPr>
        <w:t xml:space="preserve">. </w:t>
      </w:r>
      <w:r w:rsidR="00C27A4C" w:rsidRPr="00DB47A1">
        <w:rPr>
          <w:rFonts w:ascii="Arial" w:hAnsi="Arial" w:cs="Arial"/>
        </w:rPr>
        <w:t xml:space="preserve">The current legal framework places sex workers at odds with the police and the criminal process and risks their health and their safety. Research clearly shows that the most effective way to enhance their safety is to improve their relationship with police and the criminal justice system. </w:t>
      </w:r>
    </w:p>
    <w:p w14:paraId="32344C5C" w14:textId="40F7A546" w:rsidR="00536B44" w:rsidRPr="00DB47A1" w:rsidRDefault="00536B44" w:rsidP="002A48C9">
      <w:pPr>
        <w:pStyle w:val="Heading2"/>
        <w:rPr>
          <w:rFonts w:ascii="Arial" w:hAnsi="Arial" w:cs="Arial"/>
        </w:rPr>
      </w:pPr>
      <w:r w:rsidRPr="00DB47A1">
        <w:rPr>
          <w:rFonts w:ascii="Arial" w:hAnsi="Arial" w:cs="Arial"/>
        </w:rPr>
        <w:t>Conclusion</w:t>
      </w:r>
    </w:p>
    <w:p w14:paraId="08907413" w14:textId="77777777" w:rsidR="006E3827" w:rsidRPr="00DB47A1" w:rsidRDefault="006E3827" w:rsidP="006E3827">
      <w:pPr>
        <w:rPr>
          <w:rFonts w:ascii="Arial" w:hAnsi="Arial" w:cs="Arial"/>
        </w:rPr>
      </w:pPr>
      <w:r w:rsidRPr="00DB47A1">
        <w:rPr>
          <w:rFonts w:ascii="Arial" w:hAnsi="Arial" w:cs="Arial"/>
        </w:rPr>
        <w:t>We submit:</w:t>
      </w:r>
    </w:p>
    <w:p w14:paraId="28C1B45A" w14:textId="2CA9778C" w:rsidR="006E3827" w:rsidRPr="00DB47A1" w:rsidRDefault="006E3827" w:rsidP="006E3827">
      <w:pPr>
        <w:pStyle w:val="ListParagraph"/>
        <w:numPr>
          <w:ilvl w:val="0"/>
          <w:numId w:val="4"/>
        </w:numPr>
        <w:rPr>
          <w:rFonts w:ascii="Arial" w:hAnsi="Arial" w:cs="Arial"/>
        </w:rPr>
      </w:pPr>
      <w:r w:rsidRPr="00DB47A1">
        <w:rPr>
          <w:rFonts w:ascii="Arial" w:hAnsi="Arial" w:cs="Arial"/>
        </w:rPr>
        <w:t>the 2017 Act continues to criminalise the selling of sex, contrary to the stated intention of the Minister;</w:t>
      </w:r>
    </w:p>
    <w:p w14:paraId="2A30A40F" w14:textId="0E4A2B77" w:rsidR="006E3827" w:rsidRPr="00DB47A1" w:rsidRDefault="006E3827" w:rsidP="006E3827">
      <w:pPr>
        <w:pStyle w:val="ListParagraph"/>
        <w:numPr>
          <w:ilvl w:val="0"/>
          <w:numId w:val="4"/>
        </w:numPr>
        <w:rPr>
          <w:rFonts w:ascii="Arial" w:hAnsi="Arial" w:cs="Arial"/>
        </w:rPr>
      </w:pPr>
      <w:r w:rsidRPr="00DB47A1">
        <w:rPr>
          <w:rFonts w:ascii="Arial" w:hAnsi="Arial" w:cs="Arial"/>
        </w:rPr>
        <w:t>rather than protecting sex workers and exploited persons, the criminalisation of the purchasing of sex has, in fact, placed sex workers at risk of greater harm;</w:t>
      </w:r>
    </w:p>
    <w:p w14:paraId="4E722B5E" w14:textId="5A498A08" w:rsidR="00F80B7B" w:rsidRPr="00DB47A1" w:rsidRDefault="00F80B7B" w:rsidP="006E3827">
      <w:pPr>
        <w:pStyle w:val="ListParagraph"/>
        <w:numPr>
          <w:ilvl w:val="0"/>
          <w:numId w:val="4"/>
        </w:numPr>
        <w:rPr>
          <w:rFonts w:ascii="Arial" w:hAnsi="Arial" w:cs="Arial"/>
        </w:rPr>
      </w:pPr>
      <w:r w:rsidRPr="00DB47A1">
        <w:rPr>
          <w:rFonts w:ascii="Arial" w:hAnsi="Arial" w:cs="Arial"/>
        </w:rPr>
        <w:t xml:space="preserve">this includes placing trafficked and exploited persons at greater risk. </w:t>
      </w:r>
      <w:r w:rsidR="005A7930" w:rsidRPr="00DB47A1">
        <w:rPr>
          <w:rFonts w:ascii="Arial" w:hAnsi="Arial" w:cs="Arial"/>
        </w:rPr>
        <w:t>A</w:t>
      </w:r>
      <w:r w:rsidRPr="00DB47A1">
        <w:rPr>
          <w:rFonts w:ascii="Arial" w:hAnsi="Arial" w:cs="Arial"/>
        </w:rPr>
        <w:t xml:space="preserve"> legislative framework</w:t>
      </w:r>
      <w:r w:rsidR="005A7930" w:rsidRPr="00DB47A1">
        <w:rPr>
          <w:rFonts w:ascii="Arial" w:hAnsi="Arial" w:cs="Arial"/>
        </w:rPr>
        <w:t xml:space="preserve"> directed at trafficking and exploitation is the preferable avenue for combatting these crimes</w:t>
      </w:r>
      <w:r w:rsidRPr="00DB47A1">
        <w:rPr>
          <w:rFonts w:ascii="Arial" w:hAnsi="Arial" w:cs="Arial"/>
        </w:rPr>
        <w:t>;</w:t>
      </w:r>
    </w:p>
    <w:p w14:paraId="2712923E" w14:textId="77777777" w:rsidR="006E3827" w:rsidRPr="00DB47A1" w:rsidRDefault="006E3827" w:rsidP="006E3827">
      <w:pPr>
        <w:pStyle w:val="ListParagraph"/>
        <w:numPr>
          <w:ilvl w:val="0"/>
          <w:numId w:val="4"/>
        </w:numPr>
        <w:rPr>
          <w:rFonts w:ascii="Arial" w:hAnsi="Arial" w:cs="Arial"/>
        </w:rPr>
      </w:pPr>
      <w:r w:rsidRPr="00DB47A1">
        <w:rPr>
          <w:rFonts w:ascii="Arial" w:hAnsi="Arial" w:cs="Arial"/>
        </w:rPr>
        <w:t>there is no evidence to suggest that criminalisation of sex work in Ireland has contributed to the reduction of harm against women and girls more broadly, nor has it reduced public health concerns;</w:t>
      </w:r>
    </w:p>
    <w:p w14:paraId="6EAB7D96" w14:textId="6876FEF1" w:rsidR="00BB0F19" w:rsidRPr="00DB47A1" w:rsidRDefault="006E3827" w:rsidP="00AE5423">
      <w:pPr>
        <w:pStyle w:val="ListParagraph"/>
        <w:numPr>
          <w:ilvl w:val="0"/>
          <w:numId w:val="4"/>
        </w:numPr>
        <w:rPr>
          <w:rFonts w:ascii="Arial" w:hAnsi="Arial" w:cs="Arial"/>
        </w:rPr>
      </w:pPr>
      <w:r w:rsidRPr="00DB47A1">
        <w:rPr>
          <w:rFonts w:ascii="Arial" w:hAnsi="Arial" w:cs="Arial"/>
        </w:rPr>
        <w:t>the most effective way to achieve the prevention of harm is through decriminalisation of sex work</w:t>
      </w:r>
      <w:r w:rsidR="00AF3363" w:rsidRPr="00DB47A1">
        <w:rPr>
          <w:rFonts w:ascii="Arial" w:hAnsi="Arial" w:cs="Arial"/>
        </w:rPr>
        <w:t>,</w:t>
      </w:r>
      <w:r w:rsidRPr="00DB47A1">
        <w:rPr>
          <w:rFonts w:ascii="Arial" w:hAnsi="Arial" w:cs="Arial"/>
        </w:rPr>
        <w:t xml:space="preserve"> </w:t>
      </w:r>
      <w:r w:rsidR="00E95A48" w:rsidRPr="00DB47A1">
        <w:rPr>
          <w:rFonts w:ascii="Arial" w:hAnsi="Arial" w:cs="Arial"/>
        </w:rPr>
        <w:t xml:space="preserve">coupled with </w:t>
      </w:r>
      <w:r w:rsidRPr="00DB47A1">
        <w:rPr>
          <w:rFonts w:ascii="Arial" w:hAnsi="Arial" w:cs="Arial"/>
        </w:rPr>
        <w:t xml:space="preserve">active state support of services </w:t>
      </w:r>
      <w:r w:rsidR="00E95A48" w:rsidRPr="00DB47A1">
        <w:rPr>
          <w:rFonts w:ascii="Arial" w:hAnsi="Arial" w:cs="Arial"/>
        </w:rPr>
        <w:t xml:space="preserve">that </w:t>
      </w:r>
      <w:r w:rsidRPr="00DB47A1">
        <w:rPr>
          <w:rFonts w:ascii="Arial" w:hAnsi="Arial" w:cs="Arial"/>
        </w:rPr>
        <w:t>engage and assist sex workers</w:t>
      </w:r>
      <w:r w:rsidR="002A48C9" w:rsidRPr="00DB47A1">
        <w:rPr>
          <w:rFonts w:ascii="Arial" w:hAnsi="Arial" w:cs="Arial"/>
        </w:rPr>
        <w:t>;</w:t>
      </w:r>
      <w:r w:rsidRPr="00DB47A1">
        <w:rPr>
          <w:rFonts w:ascii="Arial" w:hAnsi="Arial" w:cs="Arial"/>
        </w:rPr>
        <w:t xml:space="preserve"> </w:t>
      </w:r>
    </w:p>
    <w:p w14:paraId="647201F1" w14:textId="3F4428DC" w:rsidR="00BB0F19" w:rsidRPr="00DB47A1" w:rsidRDefault="00036CDC" w:rsidP="006E3827">
      <w:pPr>
        <w:pStyle w:val="ListParagraph"/>
        <w:numPr>
          <w:ilvl w:val="0"/>
          <w:numId w:val="4"/>
        </w:numPr>
        <w:rPr>
          <w:rFonts w:ascii="Arial" w:hAnsi="Arial" w:cs="Arial"/>
        </w:rPr>
      </w:pPr>
      <w:r w:rsidRPr="00DB47A1">
        <w:rPr>
          <w:rFonts w:ascii="Arial" w:hAnsi="Arial" w:cs="Arial"/>
        </w:rPr>
        <w:t>t</w:t>
      </w:r>
      <w:r w:rsidR="00BB0F19" w:rsidRPr="00DB47A1">
        <w:rPr>
          <w:rFonts w:ascii="Arial" w:hAnsi="Arial" w:cs="Arial"/>
        </w:rPr>
        <w:t>h</w:t>
      </w:r>
      <w:r w:rsidR="002A48C9" w:rsidRPr="00DB47A1">
        <w:rPr>
          <w:rFonts w:ascii="Arial" w:hAnsi="Arial" w:cs="Arial"/>
        </w:rPr>
        <w:t>is review should engage in further consultation with sex workers, i</w:t>
      </w:r>
      <w:r w:rsidR="00BB0F19" w:rsidRPr="00DB47A1">
        <w:rPr>
          <w:rFonts w:ascii="Arial" w:hAnsi="Arial" w:cs="Arial"/>
        </w:rPr>
        <w:t>n order to hear in more detail from them about how the law can better protect them</w:t>
      </w:r>
      <w:r w:rsidR="002A48C9" w:rsidRPr="00DB47A1">
        <w:rPr>
          <w:rFonts w:ascii="Arial" w:hAnsi="Arial" w:cs="Arial"/>
        </w:rPr>
        <w:t>;</w:t>
      </w:r>
    </w:p>
    <w:p w14:paraId="628BB53B" w14:textId="41C8DE6D" w:rsidR="004655CE" w:rsidRPr="00DB47A1" w:rsidRDefault="00434F18" w:rsidP="00AE5423">
      <w:pPr>
        <w:pStyle w:val="ListParagraph"/>
        <w:numPr>
          <w:ilvl w:val="0"/>
          <w:numId w:val="4"/>
        </w:numPr>
        <w:rPr>
          <w:rFonts w:ascii="Arial" w:hAnsi="Arial" w:cs="Arial"/>
        </w:rPr>
      </w:pPr>
      <w:r w:rsidRPr="00DB47A1">
        <w:rPr>
          <w:rFonts w:ascii="Arial" w:hAnsi="Arial" w:cs="Arial"/>
        </w:rPr>
        <w:t xml:space="preserve">the laws and regulations </w:t>
      </w:r>
      <w:r w:rsidR="00036CDC" w:rsidRPr="00DB47A1">
        <w:rPr>
          <w:rFonts w:ascii="Arial" w:hAnsi="Arial" w:cs="Arial"/>
        </w:rPr>
        <w:t>which criminalise</w:t>
      </w:r>
      <w:r w:rsidRPr="00DB47A1">
        <w:rPr>
          <w:rFonts w:ascii="Arial" w:hAnsi="Arial" w:cs="Arial"/>
        </w:rPr>
        <w:t xml:space="preserve"> the sale</w:t>
      </w:r>
      <w:r w:rsidR="00036CDC" w:rsidRPr="00DB47A1">
        <w:rPr>
          <w:rFonts w:ascii="Arial" w:hAnsi="Arial" w:cs="Arial"/>
        </w:rPr>
        <w:t>,</w:t>
      </w:r>
      <w:r w:rsidRPr="00DB47A1">
        <w:rPr>
          <w:rFonts w:ascii="Arial" w:hAnsi="Arial" w:cs="Arial"/>
        </w:rPr>
        <w:t xml:space="preserve"> purchase and organisation of sex work should be repeale</w:t>
      </w:r>
      <w:r w:rsidR="00B1448E" w:rsidRPr="00DB47A1">
        <w:rPr>
          <w:rFonts w:ascii="Arial" w:hAnsi="Arial" w:cs="Arial"/>
        </w:rPr>
        <w:t xml:space="preserve">d as soon as possible. </w:t>
      </w:r>
      <w:r w:rsidRPr="00DB47A1">
        <w:rPr>
          <w:rFonts w:ascii="Arial" w:hAnsi="Arial" w:cs="Arial"/>
        </w:rPr>
        <w:t xml:space="preserve"> </w:t>
      </w:r>
    </w:p>
    <w:p w14:paraId="192D9D86" w14:textId="6F62B558" w:rsidR="004645CA" w:rsidRPr="00DB47A1" w:rsidRDefault="004645CA" w:rsidP="00AE5423">
      <w:pPr>
        <w:rPr>
          <w:rFonts w:ascii="Arial" w:hAnsi="Arial" w:cs="Arial"/>
        </w:rPr>
      </w:pPr>
      <w:r w:rsidRPr="00DB47A1">
        <w:rPr>
          <w:rFonts w:ascii="Arial" w:hAnsi="Arial" w:cs="Arial"/>
        </w:rPr>
        <w:t xml:space="preserve">Yours sincerely, </w:t>
      </w:r>
    </w:p>
    <w:p w14:paraId="3B7D5112" w14:textId="77777777"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lang w:eastAsia="en-IE"/>
        </w:rPr>
        <w:t>Dr Vicky Conway, Associate Professor, School of Law and Government, DCU.</w:t>
      </w:r>
    </w:p>
    <w:p w14:paraId="519BFE06" w14:textId="740D9A01"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lang w:eastAsia="en-IE"/>
        </w:rPr>
        <w:t xml:space="preserve">Dr </w:t>
      </w:r>
      <w:proofErr w:type="spellStart"/>
      <w:r w:rsidRPr="002644A7">
        <w:rPr>
          <w:rFonts w:ascii="Arial" w:eastAsia="Times New Roman" w:hAnsi="Arial" w:cs="Arial"/>
          <w:color w:val="000000"/>
          <w:lang w:eastAsia="en-IE"/>
        </w:rPr>
        <w:t>Sinéad</w:t>
      </w:r>
      <w:proofErr w:type="spellEnd"/>
      <w:r w:rsidRPr="002644A7">
        <w:rPr>
          <w:rFonts w:ascii="Arial" w:eastAsia="Times New Roman" w:hAnsi="Arial" w:cs="Arial"/>
          <w:color w:val="000000"/>
          <w:lang w:eastAsia="en-IE"/>
        </w:rPr>
        <w:t xml:space="preserve"> Ring, Assistant Professor, Dept of Law, Maynooth University.</w:t>
      </w:r>
    </w:p>
    <w:p w14:paraId="686D07E4" w14:textId="77777777"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lang w:eastAsia="en-IE"/>
        </w:rPr>
        <w:t xml:space="preserve">Dr Paolo </w:t>
      </w:r>
      <w:proofErr w:type="spellStart"/>
      <w:r w:rsidRPr="002644A7">
        <w:rPr>
          <w:rFonts w:ascii="Arial" w:eastAsia="Times New Roman" w:hAnsi="Arial" w:cs="Arial"/>
          <w:color w:val="000000"/>
          <w:lang w:eastAsia="en-IE"/>
        </w:rPr>
        <w:t>Rivetti</w:t>
      </w:r>
      <w:proofErr w:type="spellEnd"/>
      <w:r w:rsidRPr="002644A7">
        <w:rPr>
          <w:rFonts w:ascii="Arial" w:eastAsia="Times New Roman" w:hAnsi="Arial" w:cs="Arial"/>
          <w:color w:val="000000"/>
          <w:lang w:eastAsia="en-IE"/>
        </w:rPr>
        <w:t>, Associate Professor, School of Law and Government, DCU.</w:t>
      </w:r>
    </w:p>
    <w:p w14:paraId="39D49C41" w14:textId="77777777"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lang w:eastAsia="en-IE"/>
        </w:rPr>
        <w:t>Dr Ronan Condon, Assistant Professor, School of Law and Government, DCU.</w:t>
      </w:r>
    </w:p>
    <w:p w14:paraId="2C7B4F11" w14:textId="48D9FF2A"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lang w:eastAsia="en-IE"/>
        </w:rPr>
        <w:t>Dr James Gallen, Assistant Professor, School of Law and Government, DCU.</w:t>
      </w:r>
    </w:p>
    <w:p w14:paraId="119516C5" w14:textId="77777777"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lang w:eastAsia="en-IE"/>
        </w:rPr>
        <w:t xml:space="preserve">Dr Orla Lynch, </w:t>
      </w:r>
      <w:r w:rsidRPr="002644A7">
        <w:rPr>
          <w:rFonts w:ascii="Arial" w:eastAsia="Times New Roman" w:hAnsi="Arial" w:cs="Arial"/>
          <w:color w:val="000000"/>
          <w:shd w:val="clear" w:color="auto" w:fill="FFFFFF"/>
          <w:lang w:eastAsia="en-IE"/>
        </w:rPr>
        <w:t xml:space="preserve">Senior Lecturer in Criminology and </w:t>
      </w:r>
      <w:proofErr w:type="spellStart"/>
      <w:r w:rsidRPr="002644A7">
        <w:rPr>
          <w:rFonts w:ascii="Arial" w:eastAsia="Times New Roman" w:hAnsi="Arial" w:cs="Arial"/>
          <w:color w:val="000000"/>
          <w:shd w:val="clear" w:color="auto" w:fill="FFFFFF"/>
          <w:lang w:eastAsia="en-IE"/>
        </w:rPr>
        <w:t>Asc</w:t>
      </w:r>
      <w:proofErr w:type="spellEnd"/>
      <w:r w:rsidRPr="002644A7">
        <w:rPr>
          <w:rFonts w:ascii="Arial" w:eastAsia="Times New Roman" w:hAnsi="Arial" w:cs="Arial"/>
          <w:color w:val="000000"/>
          <w:shd w:val="clear" w:color="auto" w:fill="FFFFFF"/>
          <w:lang w:eastAsia="en-IE"/>
        </w:rPr>
        <w:t>. Dean of Graduates Studies at University College Cork.</w:t>
      </w:r>
    </w:p>
    <w:p w14:paraId="1F974402" w14:textId="77777777"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Danny Marks, Assistant Professor, School of Law and Government, DCU..</w:t>
      </w:r>
    </w:p>
    <w:p w14:paraId="0918BC4C" w14:textId="2F25AACA"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Prof Claire </w:t>
      </w:r>
      <w:r w:rsidR="00CD12B9" w:rsidRPr="002644A7">
        <w:rPr>
          <w:rFonts w:ascii="Arial" w:eastAsia="Times New Roman" w:hAnsi="Arial" w:cs="Arial"/>
          <w:color w:val="000000"/>
          <w:shd w:val="clear" w:color="auto" w:fill="FFFFFF"/>
          <w:lang w:eastAsia="en-IE"/>
        </w:rPr>
        <w:t>Hamilton</w:t>
      </w:r>
      <w:r w:rsidRPr="002644A7">
        <w:rPr>
          <w:rFonts w:ascii="Arial" w:eastAsia="Times New Roman" w:hAnsi="Arial" w:cs="Arial"/>
          <w:color w:val="000000"/>
          <w:shd w:val="clear" w:color="auto" w:fill="FFFFFF"/>
          <w:lang w:eastAsia="en-IE"/>
        </w:rPr>
        <w:t>, Department of Law, Maynooth University.</w:t>
      </w:r>
    </w:p>
    <w:p w14:paraId="14FC7299" w14:textId="77777777"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Judy Walsh, Head of Social Justice and Lecturer, UCD School of Social Policy, Social Work and Social Justice. </w:t>
      </w:r>
    </w:p>
    <w:p w14:paraId="33C519E5" w14:textId="77777777"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Mary McAuliffe, Assistant Professor, UCD Gender Studies.</w:t>
      </w:r>
    </w:p>
    <w:p w14:paraId="2B7F3684" w14:textId="77777777"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Dr Aurelie </w:t>
      </w:r>
      <w:proofErr w:type="spellStart"/>
      <w:r w:rsidRPr="002644A7">
        <w:rPr>
          <w:rFonts w:ascii="Arial" w:eastAsia="Times New Roman" w:hAnsi="Arial" w:cs="Arial"/>
          <w:color w:val="000000"/>
          <w:shd w:val="clear" w:color="auto" w:fill="FFFFFF"/>
          <w:lang w:eastAsia="en-IE"/>
        </w:rPr>
        <w:t>Siccard</w:t>
      </w:r>
      <w:proofErr w:type="spellEnd"/>
      <w:r w:rsidRPr="002644A7">
        <w:rPr>
          <w:rFonts w:ascii="Arial" w:eastAsia="Times New Roman" w:hAnsi="Arial" w:cs="Arial"/>
          <w:color w:val="000000"/>
          <w:shd w:val="clear" w:color="auto" w:fill="FFFFFF"/>
          <w:lang w:eastAsia="en-IE"/>
        </w:rPr>
        <w:t>, Researcher, School of Law and Government, DCU.</w:t>
      </w:r>
    </w:p>
    <w:p w14:paraId="4A5B3501" w14:textId="77777777"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Lynsey Black, Assistant Professor School of Law, Maynooth University.</w:t>
      </w:r>
    </w:p>
    <w:p w14:paraId="280D330B" w14:textId="77777777" w:rsidR="002644A7" w:rsidRPr="002644A7" w:rsidRDefault="002644A7" w:rsidP="002644A7">
      <w:pPr>
        <w:numPr>
          <w:ilvl w:val="0"/>
          <w:numId w:val="5"/>
        </w:numPr>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David Gibson, Assistant Professor, School of Human Development, DCU.</w:t>
      </w:r>
    </w:p>
    <w:p w14:paraId="1D6BF202"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Dr Kevin J Denny, Associate Professor, </w:t>
      </w:r>
      <w:hyperlink r:id="rId10" w:history="1">
        <w:r w:rsidRPr="002644A7">
          <w:rPr>
            <w:rFonts w:ascii="Arial" w:eastAsia="Times New Roman" w:hAnsi="Arial" w:cs="Arial"/>
            <w:color w:val="000000"/>
            <w:shd w:val="clear" w:color="auto" w:fill="FFFFFF"/>
            <w:lang w:eastAsia="en-IE"/>
          </w:rPr>
          <w:t>School of Economics</w:t>
        </w:r>
      </w:hyperlink>
      <w:r w:rsidRPr="002644A7">
        <w:rPr>
          <w:rFonts w:ascii="Arial" w:eastAsia="Times New Roman" w:hAnsi="Arial" w:cs="Arial"/>
          <w:color w:val="000000"/>
          <w:shd w:val="clear" w:color="auto" w:fill="FFFFFF"/>
          <w:lang w:eastAsia="en-IE"/>
        </w:rPr>
        <w:t xml:space="preserve"> &amp; </w:t>
      </w:r>
      <w:hyperlink r:id="rId11" w:history="1">
        <w:r w:rsidRPr="002644A7">
          <w:rPr>
            <w:rFonts w:ascii="Arial" w:eastAsia="Times New Roman" w:hAnsi="Arial" w:cs="Arial"/>
            <w:color w:val="000000"/>
            <w:shd w:val="clear" w:color="auto" w:fill="FFFFFF"/>
            <w:lang w:eastAsia="en-IE"/>
          </w:rPr>
          <w:t>Geary Institute for Public Polic</w:t>
        </w:r>
      </w:hyperlink>
      <w:r w:rsidRPr="002644A7">
        <w:rPr>
          <w:rFonts w:ascii="Arial" w:eastAsia="Times New Roman" w:hAnsi="Arial" w:cs="Arial"/>
          <w:color w:val="000000"/>
          <w:shd w:val="clear" w:color="auto" w:fill="FFFFFF"/>
          <w:lang w:eastAsia="en-IE"/>
        </w:rPr>
        <w:t>y, University College Dublin.</w:t>
      </w:r>
    </w:p>
    <w:p w14:paraId="512FF55E"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Dr Katharina </w:t>
      </w:r>
      <w:proofErr w:type="spellStart"/>
      <w:r w:rsidRPr="002644A7">
        <w:rPr>
          <w:rFonts w:ascii="Arial" w:eastAsia="Times New Roman" w:hAnsi="Arial" w:cs="Arial"/>
          <w:color w:val="000000"/>
          <w:shd w:val="clear" w:color="auto" w:fill="FFFFFF"/>
          <w:lang w:eastAsia="en-IE"/>
        </w:rPr>
        <w:t>Swirak</w:t>
      </w:r>
      <w:proofErr w:type="spellEnd"/>
      <w:r w:rsidRPr="002644A7">
        <w:rPr>
          <w:rFonts w:ascii="Arial" w:eastAsia="Times New Roman" w:hAnsi="Arial" w:cs="Arial"/>
          <w:color w:val="000000"/>
          <w:shd w:val="clear" w:color="auto" w:fill="FFFFFF"/>
          <w:lang w:eastAsia="en-IE"/>
        </w:rPr>
        <w:t>, Lecturer, School of Sociology and Philosophy, UCC.</w:t>
      </w:r>
    </w:p>
    <w:p w14:paraId="37E4EB4B"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Grace Walsh, Whitaker Institute for Innovation and Societal Change, NUI, Galway.</w:t>
      </w:r>
    </w:p>
    <w:p w14:paraId="64237569"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proofErr w:type="spellStart"/>
      <w:r w:rsidRPr="002644A7">
        <w:rPr>
          <w:rFonts w:ascii="Arial" w:eastAsia="Times New Roman" w:hAnsi="Arial" w:cs="Arial"/>
          <w:color w:val="000000"/>
          <w:shd w:val="clear" w:color="auto" w:fill="FFFFFF"/>
          <w:lang w:eastAsia="en-IE"/>
        </w:rPr>
        <w:t>Gearoidin</w:t>
      </w:r>
      <w:proofErr w:type="spellEnd"/>
      <w:r w:rsidRPr="002644A7">
        <w:rPr>
          <w:rFonts w:ascii="Arial" w:eastAsia="Times New Roman" w:hAnsi="Arial" w:cs="Arial"/>
          <w:color w:val="000000"/>
          <w:shd w:val="clear" w:color="auto" w:fill="FFFFFF"/>
          <w:lang w:eastAsia="en-IE"/>
        </w:rPr>
        <w:t xml:space="preserve"> McEvoy, doctoral student, School of Law and Government, DCU.</w:t>
      </w:r>
    </w:p>
    <w:p w14:paraId="3F5C1CD4"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Dr </w:t>
      </w:r>
      <w:proofErr w:type="spellStart"/>
      <w:r w:rsidRPr="002644A7">
        <w:rPr>
          <w:rFonts w:ascii="Arial" w:eastAsia="Times New Roman" w:hAnsi="Arial" w:cs="Arial"/>
          <w:color w:val="000000"/>
          <w:shd w:val="clear" w:color="auto" w:fill="FFFFFF"/>
          <w:lang w:eastAsia="en-IE"/>
        </w:rPr>
        <w:t>Sinéad</w:t>
      </w:r>
      <w:proofErr w:type="spellEnd"/>
      <w:r w:rsidRPr="002644A7">
        <w:rPr>
          <w:rFonts w:ascii="Arial" w:eastAsia="Times New Roman" w:hAnsi="Arial" w:cs="Arial"/>
          <w:color w:val="000000"/>
          <w:shd w:val="clear" w:color="auto" w:fill="FFFFFF"/>
          <w:lang w:eastAsia="en-IE"/>
        </w:rPr>
        <w:t xml:space="preserve"> Kennedy, Department of English, Maynooth University.</w:t>
      </w:r>
    </w:p>
    <w:p w14:paraId="4BCAC922"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Jennifer Schweppe, Senior Lecturer in Law, University of Limerick.</w:t>
      </w:r>
    </w:p>
    <w:p w14:paraId="3D92E835"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Deirdre McGowan Head of Law, Assistant Head of School of Languages, Technological University Dublin.</w:t>
      </w:r>
    </w:p>
    <w:p w14:paraId="47E2FE56"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proofErr w:type="spellStart"/>
      <w:r w:rsidRPr="002644A7">
        <w:rPr>
          <w:rFonts w:ascii="Arial" w:eastAsia="Times New Roman" w:hAnsi="Arial" w:cs="Arial"/>
          <w:color w:val="000000"/>
          <w:shd w:val="clear" w:color="auto" w:fill="FFFFFF"/>
          <w:lang w:eastAsia="en-IE"/>
        </w:rPr>
        <w:t>Moign</w:t>
      </w:r>
      <w:proofErr w:type="spellEnd"/>
      <w:r w:rsidRPr="002644A7">
        <w:rPr>
          <w:rFonts w:ascii="Arial" w:eastAsia="Times New Roman" w:hAnsi="Arial" w:cs="Arial"/>
          <w:color w:val="000000"/>
          <w:shd w:val="clear" w:color="auto" w:fill="FFFFFF"/>
          <w:lang w:eastAsia="en-IE"/>
        </w:rPr>
        <w:t xml:space="preserve"> Khawaja, </w:t>
      </w:r>
      <w:hyperlink r:id="rId12" w:history="1">
        <w:r w:rsidRPr="002644A7">
          <w:rPr>
            <w:rFonts w:ascii="Arial" w:eastAsia="Times New Roman" w:hAnsi="Arial" w:cs="Arial"/>
            <w:color w:val="000000"/>
            <w:shd w:val="clear" w:color="auto" w:fill="FFFFFF"/>
            <w:lang w:eastAsia="en-IE"/>
          </w:rPr>
          <w:t>PhD Candidate &amp; Teaching Assistant, School of Law &amp; Gov</w:t>
        </w:r>
      </w:hyperlink>
      <w:r w:rsidRPr="002644A7">
        <w:rPr>
          <w:rFonts w:ascii="Arial" w:eastAsia="Times New Roman" w:hAnsi="Arial" w:cs="Arial"/>
          <w:color w:val="000000"/>
          <w:shd w:val="clear" w:color="auto" w:fill="FFFFFF"/>
          <w:lang w:eastAsia="en-IE"/>
        </w:rPr>
        <w:t>ernment</w:t>
      </w:r>
      <w:r w:rsidRPr="002644A7">
        <w:rPr>
          <w:rFonts w:ascii="Arial" w:eastAsia="Times New Roman" w:hAnsi="Arial" w:cs="Arial"/>
          <w:color w:val="000000"/>
          <w:u w:val="single"/>
          <w:shd w:val="clear" w:color="auto" w:fill="FFFFFF"/>
          <w:lang w:eastAsia="en-IE"/>
        </w:rPr>
        <w:t xml:space="preserve"> </w:t>
      </w:r>
      <w:r w:rsidRPr="002644A7">
        <w:rPr>
          <w:rFonts w:ascii="Arial" w:eastAsia="Times New Roman" w:hAnsi="Arial" w:cs="Arial"/>
          <w:color w:val="000000"/>
          <w:shd w:val="clear" w:color="auto" w:fill="FFFFFF"/>
          <w:lang w:eastAsia="en-IE"/>
        </w:rPr>
        <w:t>Dublin City University (DCU)</w:t>
      </w:r>
    </w:p>
    <w:p w14:paraId="6A441536"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Stephanie Rains, Associate Professor, Dept of Media Studies, Maynooth University</w:t>
      </w:r>
    </w:p>
    <w:p w14:paraId="50EEAF01"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Eoin O’Malley, Associate Professor, School of Law and Government, DCU.</w:t>
      </w:r>
    </w:p>
    <w:p w14:paraId="6FBC92E6"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Prof </w:t>
      </w:r>
      <w:proofErr w:type="spellStart"/>
      <w:r w:rsidRPr="002644A7">
        <w:rPr>
          <w:rFonts w:ascii="Arial" w:eastAsia="Times New Roman" w:hAnsi="Arial" w:cs="Arial"/>
          <w:color w:val="000000"/>
          <w:shd w:val="clear" w:color="auto" w:fill="FFFFFF"/>
          <w:lang w:eastAsia="en-IE"/>
        </w:rPr>
        <w:t>Eilionóir</w:t>
      </w:r>
      <w:proofErr w:type="spellEnd"/>
      <w:r w:rsidRPr="002644A7">
        <w:rPr>
          <w:rFonts w:ascii="Arial" w:eastAsia="Times New Roman" w:hAnsi="Arial" w:cs="Arial"/>
          <w:color w:val="000000"/>
          <w:shd w:val="clear" w:color="auto" w:fill="FFFFFF"/>
          <w:lang w:eastAsia="en-IE"/>
        </w:rPr>
        <w:t xml:space="preserve"> Flynn, School of Law, NUI Galway.</w:t>
      </w:r>
    </w:p>
    <w:p w14:paraId="305C8415"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Dr Cian Ó </w:t>
      </w:r>
      <w:proofErr w:type="spellStart"/>
      <w:r w:rsidRPr="002644A7">
        <w:rPr>
          <w:rFonts w:ascii="Arial" w:eastAsia="Times New Roman" w:hAnsi="Arial" w:cs="Arial"/>
          <w:color w:val="000000"/>
          <w:shd w:val="clear" w:color="auto" w:fill="FFFFFF"/>
          <w:lang w:eastAsia="en-IE"/>
        </w:rPr>
        <w:t>Concubhair</w:t>
      </w:r>
      <w:proofErr w:type="spellEnd"/>
      <w:r w:rsidRPr="002644A7">
        <w:rPr>
          <w:rFonts w:ascii="Arial" w:eastAsia="Times New Roman" w:hAnsi="Arial" w:cs="Arial"/>
          <w:color w:val="000000"/>
          <w:shd w:val="clear" w:color="auto" w:fill="FFFFFF"/>
          <w:lang w:eastAsia="en-IE"/>
        </w:rPr>
        <w:t>, Assistant Professor, School of Law, Maynooth University.  </w:t>
      </w:r>
    </w:p>
    <w:p w14:paraId="6843DD49" w14:textId="5315C9D8"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Ciara Bracken-Roche, Assistant Professor, Dept of Law, Maynooth University. </w:t>
      </w:r>
    </w:p>
    <w:p w14:paraId="0E8D3A8D" w14:textId="05ED41BB"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Ian D. Marder, Lecturer in Criminology, Department of Law, Maynooth University.</w:t>
      </w:r>
    </w:p>
    <w:p w14:paraId="5B0BDE74" w14:textId="79FF69BD"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Sandra Duffy, Irish Centre for Human Rights, NUI Galway.</w:t>
      </w:r>
    </w:p>
    <w:p w14:paraId="716200EC"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Claire </w:t>
      </w:r>
      <w:proofErr w:type="spellStart"/>
      <w:r w:rsidRPr="002644A7">
        <w:rPr>
          <w:rFonts w:ascii="Arial" w:eastAsia="Times New Roman" w:hAnsi="Arial" w:cs="Arial"/>
          <w:color w:val="000000"/>
          <w:shd w:val="clear" w:color="auto" w:fill="FFFFFF"/>
          <w:lang w:eastAsia="en-IE"/>
        </w:rPr>
        <w:t>McGettrick</w:t>
      </w:r>
      <w:proofErr w:type="spellEnd"/>
      <w:r w:rsidRPr="002644A7">
        <w:rPr>
          <w:rFonts w:ascii="Arial" w:eastAsia="Times New Roman" w:hAnsi="Arial" w:cs="Arial"/>
          <w:color w:val="000000"/>
          <w:shd w:val="clear" w:color="auto" w:fill="FFFFFF"/>
          <w:lang w:eastAsia="en-IE"/>
        </w:rPr>
        <w:t>, PhD Candidate, UCD School of Sociology, Irish Research Council Government of Ireland Postgraduate Scholar.</w:t>
      </w:r>
    </w:p>
    <w:p w14:paraId="57CA5671"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Niamh Wade, IRC Postgraduate Scholar, Department of Law, Maynooth University.</w:t>
      </w:r>
    </w:p>
    <w:p w14:paraId="08631EDF"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TJ McIntyre, Associate Professor, Sutherland School of Law, UCD.</w:t>
      </w:r>
    </w:p>
    <w:p w14:paraId="5DA4011D"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Hazel Larkin, Doctoral Student, School of History and Geography, DCU.</w:t>
      </w:r>
    </w:p>
    <w:p w14:paraId="77CBA6E6"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Prof PK Plunkett, Clinical Professor of Emergency Medicine, Trinity College Dublin.</w:t>
      </w:r>
    </w:p>
    <w:p w14:paraId="5ACEBEF0"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Caroline West, Lecturer, The Open College.</w:t>
      </w:r>
    </w:p>
    <w:p w14:paraId="487FE0EB"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Catherine Connolly, Postdoctoral Fellow, School of Law and Government, DCU. </w:t>
      </w:r>
    </w:p>
    <w:p w14:paraId="6CE46824"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Kylie Jarrett, Associate Professor, Media Studies, Maynooth University.</w:t>
      </w:r>
    </w:p>
    <w:p w14:paraId="117C25F1"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Emma Burns, Doctoral Researcher, Centre for Disability Law &amp; Policy, NUI Galway.</w:t>
      </w:r>
    </w:p>
    <w:p w14:paraId="62C84193"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Dr Debbie </w:t>
      </w:r>
      <w:proofErr w:type="spellStart"/>
      <w:r w:rsidRPr="002644A7">
        <w:rPr>
          <w:rFonts w:ascii="Arial" w:eastAsia="Times New Roman" w:hAnsi="Arial" w:cs="Arial"/>
          <w:color w:val="000000"/>
          <w:shd w:val="clear" w:color="auto" w:fill="FFFFFF"/>
          <w:lang w:eastAsia="en-IE"/>
        </w:rPr>
        <w:t>Ging</w:t>
      </w:r>
      <w:proofErr w:type="spellEnd"/>
      <w:r w:rsidRPr="002644A7">
        <w:rPr>
          <w:rFonts w:ascii="Arial" w:eastAsia="Times New Roman" w:hAnsi="Arial" w:cs="Arial"/>
          <w:color w:val="000000"/>
          <w:shd w:val="clear" w:color="auto" w:fill="FFFFFF"/>
          <w:lang w:eastAsia="en-IE"/>
        </w:rPr>
        <w:t>, Associate Professor, School of Communications, DCU.</w:t>
      </w:r>
    </w:p>
    <w:p w14:paraId="378898FE" w14:textId="56886A73"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Paul Ryan, Assistant Professor, Department of Sociology, Maynooth University.</w:t>
      </w:r>
    </w:p>
    <w:p w14:paraId="0E621407"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Nicola Fox Hamilton, Psychology Lecturer, Institute of Art, Design and Technology, Dun Laoghaire.</w:t>
      </w:r>
    </w:p>
    <w:p w14:paraId="63A71C85"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Thomas Strong, Lecturer, Department of Anthropology, Maynooth University.</w:t>
      </w:r>
    </w:p>
    <w:p w14:paraId="1CFDFB33"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Arpita Chakraborty, IRC Enterprise Postdoctoral Fellow, DCU</w:t>
      </w:r>
    </w:p>
    <w:p w14:paraId="569AA80C"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Professor Tobias Lock, Department of Law, Maynooth University. </w:t>
      </w:r>
    </w:p>
    <w:p w14:paraId="062DAA02"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Katherine O'Donnell, Associate Professor, School of Philosophy, UCD.</w:t>
      </w:r>
    </w:p>
    <w:p w14:paraId="20DFB372"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Louise Crowley, Senior Lecturer, School of Law, UCC.</w:t>
      </w:r>
    </w:p>
    <w:p w14:paraId="40F3D00A"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John P. Gilmore, Assistant Professor of Nursing, University College Dublin. </w:t>
      </w:r>
    </w:p>
    <w:p w14:paraId="6480EF3D"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proofErr w:type="spellStart"/>
      <w:r w:rsidRPr="002644A7">
        <w:rPr>
          <w:rFonts w:ascii="Arial" w:eastAsia="Times New Roman" w:hAnsi="Arial" w:cs="Arial"/>
          <w:color w:val="000000"/>
          <w:shd w:val="clear" w:color="auto" w:fill="FFFFFF"/>
          <w:lang w:eastAsia="en-IE"/>
        </w:rPr>
        <w:t>Hasret</w:t>
      </w:r>
      <w:proofErr w:type="spellEnd"/>
      <w:r w:rsidRPr="002644A7">
        <w:rPr>
          <w:rFonts w:ascii="Arial" w:eastAsia="Times New Roman" w:hAnsi="Arial" w:cs="Arial"/>
          <w:color w:val="000000"/>
          <w:shd w:val="clear" w:color="auto" w:fill="FFFFFF"/>
          <w:lang w:eastAsia="en-IE"/>
        </w:rPr>
        <w:t xml:space="preserve"> Cetinkaya, Doctoral Candidate, Irish Centre for Human Rights, NUI Galway.</w:t>
      </w:r>
    </w:p>
    <w:p w14:paraId="4166EEAC"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Michael Connolly, Joint Associate Professor of Clinical Nursing, UCD School of Nursing, Midwifery and Health Systems. </w:t>
      </w:r>
    </w:p>
    <w:p w14:paraId="24DF0B76"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Kate Frazer, UCD School of Nursing, Midwifery and Health Systems.</w:t>
      </w:r>
    </w:p>
    <w:p w14:paraId="1BC77294"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Maria O'Brien, School of Communications, Dublin City University.</w:t>
      </w:r>
    </w:p>
    <w:p w14:paraId="4D8360E5"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Kathryn McGarry, Lecturer, Department of Applied Social Studies, Maynooth University.</w:t>
      </w:r>
    </w:p>
    <w:p w14:paraId="442915D2"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Laurence Cox, Associate Professor of Sociology, Maynooth University. </w:t>
      </w:r>
    </w:p>
    <w:p w14:paraId="7736F0F4"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Doris Murphy, PhD candidate, Sociology and Women’s Studies, UCC.</w:t>
      </w:r>
    </w:p>
    <w:p w14:paraId="11C6AE6A"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Sindy Joyce, Sociologist.</w:t>
      </w:r>
    </w:p>
    <w:p w14:paraId="0E1DD008"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Dr </w:t>
      </w:r>
      <w:proofErr w:type="spellStart"/>
      <w:r w:rsidRPr="002644A7">
        <w:rPr>
          <w:rFonts w:ascii="Arial" w:eastAsia="Times New Roman" w:hAnsi="Arial" w:cs="Arial"/>
          <w:color w:val="000000"/>
          <w:shd w:val="clear" w:color="auto" w:fill="FFFFFF"/>
          <w:lang w:eastAsia="en-IE"/>
        </w:rPr>
        <w:t>Edel</w:t>
      </w:r>
      <w:proofErr w:type="spellEnd"/>
      <w:r w:rsidRPr="002644A7">
        <w:rPr>
          <w:rFonts w:ascii="Arial" w:eastAsia="Times New Roman" w:hAnsi="Arial" w:cs="Arial"/>
          <w:color w:val="000000"/>
          <w:shd w:val="clear" w:color="auto" w:fill="FFFFFF"/>
          <w:lang w:eastAsia="en-IE"/>
        </w:rPr>
        <w:t xml:space="preserve"> Hughes, Assistant Professor, School of Law, NUI Galway.</w:t>
      </w:r>
    </w:p>
    <w:p w14:paraId="28C28D3D"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Anne Mulhall, Co-Director, UCD Centre for Gender, Feminisms &amp; Sexualities.</w:t>
      </w:r>
    </w:p>
    <w:p w14:paraId="4AB117D4"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Kate Dawson, Postdoctoral Fellow, NUI Galway.</w:t>
      </w:r>
    </w:p>
    <w:p w14:paraId="06EC027A"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James Fitzgerald, Assistant Professor, School of Law and Government, DCU.</w:t>
      </w:r>
    </w:p>
    <w:p w14:paraId="2727A95C" w14:textId="4A68A21B"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w:t>
      </w:r>
      <w:bookmarkStart w:id="0" w:name="_GoBack"/>
      <w:bookmarkEnd w:id="0"/>
      <w:r w:rsidRPr="002644A7">
        <w:rPr>
          <w:rFonts w:ascii="Arial" w:eastAsia="Times New Roman" w:hAnsi="Arial" w:cs="Arial"/>
          <w:color w:val="000000"/>
          <w:shd w:val="clear" w:color="auto" w:fill="FFFFFF"/>
          <w:lang w:eastAsia="en-IE"/>
        </w:rPr>
        <w:t xml:space="preserve"> Erika </w:t>
      </w:r>
      <w:proofErr w:type="spellStart"/>
      <w:r w:rsidRPr="002644A7">
        <w:rPr>
          <w:rFonts w:ascii="Arial" w:eastAsia="Times New Roman" w:hAnsi="Arial" w:cs="Arial"/>
          <w:color w:val="000000"/>
          <w:shd w:val="clear" w:color="auto" w:fill="FFFFFF"/>
          <w:lang w:eastAsia="en-IE"/>
        </w:rPr>
        <w:t>Biagini</w:t>
      </w:r>
      <w:proofErr w:type="spellEnd"/>
      <w:r w:rsidRPr="002644A7">
        <w:rPr>
          <w:rFonts w:ascii="Arial" w:eastAsia="Times New Roman" w:hAnsi="Arial" w:cs="Arial"/>
          <w:color w:val="000000"/>
          <w:shd w:val="clear" w:color="auto" w:fill="FFFFFF"/>
          <w:lang w:eastAsia="en-IE"/>
        </w:rPr>
        <w:t>, Assistant Professor, School of Law and Government, DCU.</w:t>
      </w:r>
    </w:p>
    <w:p w14:paraId="3798FA40"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Judith Finlay-McAlester, PhD candidate, Classics and Law, Trinity College Dublin.</w:t>
      </w:r>
    </w:p>
    <w:p w14:paraId="02C53C33"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Dr Tanya </w:t>
      </w:r>
      <w:proofErr w:type="spellStart"/>
      <w:r w:rsidRPr="002644A7">
        <w:rPr>
          <w:rFonts w:ascii="Arial" w:eastAsia="Times New Roman" w:hAnsi="Arial" w:cs="Arial"/>
          <w:color w:val="000000"/>
          <w:shd w:val="clear" w:color="auto" w:fill="FFFFFF"/>
          <w:lang w:eastAsia="en-IE"/>
        </w:rPr>
        <w:t>Lokot</w:t>
      </w:r>
      <w:proofErr w:type="spellEnd"/>
      <w:r w:rsidRPr="002644A7">
        <w:rPr>
          <w:rFonts w:ascii="Arial" w:eastAsia="Times New Roman" w:hAnsi="Arial" w:cs="Arial"/>
          <w:color w:val="000000"/>
          <w:shd w:val="clear" w:color="auto" w:fill="FFFFFF"/>
          <w:lang w:eastAsia="en-IE"/>
        </w:rPr>
        <w:t>, Assistant Professor, School of Communications, DCU.</w:t>
      </w:r>
    </w:p>
    <w:p w14:paraId="63A326EC"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Theresa O’Keefe, Department of Sociology and Criminology, UCC. </w:t>
      </w:r>
    </w:p>
    <w:p w14:paraId="051926FF"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Sheamus Sweeney, Independent Scholar. </w:t>
      </w:r>
    </w:p>
    <w:p w14:paraId="30F9C766"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222222"/>
          <w:lang w:eastAsia="en-IE"/>
        </w:rPr>
      </w:pPr>
      <w:r w:rsidRPr="002644A7">
        <w:rPr>
          <w:rFonts w:ascii="Arial" w:eastAsia="Times New Roman" w:hAnsi="Arial" w:cs="Arial"/>
          <w:color w:val="000000"/>
          <w:shd w:val="clear" w:color="auto" w:fill="FFFFFF"/>
          <w:lang w:eastAsia="en-IE"/>
        </w:rPr>
        <w:t>Gerry Kennedy, BL, Associate Lecturer, Faculty of Law, Griffith College Dublin, Secretary of Dublin AIDS Alliance</w:t>
      </w:r>
      <w:r w:rsidRPr="002644A7">
        <w:rPr>
          <w:rFonts w:ascii="Arial" w:eastAsia="Times New Roman" w:hAnsi="Arial" w:cs="Arial"/>
          <w:color w:val="222222"/>
          <w:shd w:val="clear" w:color="auto" w:fill="FFFFFF"/>
          <w:lang w:eastAsia="en-IE"/>
        </w:rPr>
        <w:t>.</w:t>
      </w:r>
    </w:p>
    <w:p w14:paraId="796367D2"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Dr Tanya </w:t>
      </w:r>
      <w:proofErr w:type="spellStart"/>
      <w:r w:rsidRPr="002644A7">
        <w:rPr>
          <w:rFonts w:ascii="Arial" w:eastAsia="Times New Roman" w:hAnsi="Arial" w:cs="Arial"/>
          <w:color w:val="000000"/>
          <w:shd w:val="clear" w:color="auto" w:fill="FFFFFF"/>
          <w:lang w:eastAsia="en-IE"/>
        </w:rPr>
        <w:t>Ní</w:t>
      </w:r>
      <w:proofErr w:type="spellEnd"/>
      <w:r w:rsidRPr="002644A7">
        <w:rPr>
          <w:rFonts w:ascii="Arial" w:eastAsia="Times New Roman" w:hAnsi="Arial" w:cs="Arial"/>
          <w:color w:val="000000"/>
          <w:shd w:val="clear" w:color="auto" w:fill="FFFFFF"/>
          <w:lang w:eastAsia="en-IE"/>
        </w:rPr>
        <w:t xml:space="preserve"> </w:t>
      </w:r>
      <w:proofErr w:type="spellStart"/>
      <w:r w:rsidRPr="002644A7">
        <w:rPr>
          <w:rFonts w:ascii="Arial" w:eastAsia="Times New Roman" w:hAnsi="Arial" w:cs="Arial"/>
          <w:color w:val="000000"/>
          <w:shd w:val="clear" w:color="auto" w:fill="FFFFFF"/>
          <w:lang w:eastAsia="en-IE"/>
        </w:rPr>
        <w:t>Mhuirthile</w:t>
      </w:r>
      <w:proofErr w:type="spellEnd"/>
      <w:r w:rsidRPr="002644A7">
        <w:rPr>
          <w:rFonts w:ascii="Arial" w:eastAsia="Times New Roman" w:hAnsi="Arial" w:cs="Arial"/>
          <w:color w:val="000000"/>
          <w:shd w:val="clear" w:color="auto" w:fill="FFFFFF"/>
          <w:lang w:eastAsia="en-IE"/>
        </w:rPr>
        <w:t>, Assistant Professor, School of Law and Governance, DCU.</w:t>
      </w:r>
    </w:p>
    <w:p w14:paraId="7592E656"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Sara O'Sullivan, Associate Professor, UCD School of Sociology.</w:t>
      </w:r>
    </w:p>
    <w:p w14:paraId="1F9B659C"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Caoimhe Kiernan</w:t>
      </w:r>
      <w:r w:rsidRPr="002644A7">
        <w:rPr>
          <w:rFonts w:ascii="Arial" w:eastAsia="Times New Roman" w:hAnsi="Arial" w:cs="Arial"/>
          <w:b/>
          <w:bCs/>
          <w:color w:val="000000"/>
          <w:shd w:val="clear" w:color="auto" w:fill="FFFFFF"/>
          <w:lang w:eastAsia="en-IE"/>
        </w:rPr>
        <w:t xml:space="preserve">, </w:t>
      </w:r>
      <w:r w:rsidRPr="002644A7">
        <w:rPr>
          <w:rFonts w:ascii="Arial" w:eastAsia="Times New Roman" w:hAnsi="Arial" w:cs="Arial"/>
          <w:color w:val="000000"/>
          <w:shd w:val="clear" w:color="auto" w:fill="FFFFFF"/>
          <w:lang w:eastAsia="en-IE"/>
        </w:rPr>
        <w:t>Senior Research Assistant, PhD candidate, Technological University Dublin.</w:t>
      </w:r>
    </w:p>
    <w:p w14:paraId="2795C899"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Professor Linda Connolly, Professor of Sociology and Director, Maynooth University Social Sciences Institute.</w:t>
      </w:r>
    </w:p>
    <w:p w14:paraId="383D4E87"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Professor Nicholas Daly, School of English, Drama and Film, UCD.</w:t>
      </w:r>
    </w:p>
    <w:p w14:paraId="22FA6CAF"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Adam McAuley, Assistant Professor, School of Law and Government, DCU</w:t>
      </w:r>
    </w:p>
    <w:p w14:paraId="7C282EAB"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Dr Fiona </w:t>
      </w:r>
      <w:proofErr w:type="spellStart"/>
      <w:r w:rsidRPr="002644A7">
        <w:rPr>
          <w:rFonts w:ascii="Arial" w:eastAsia="Times New Roman" w:hAnsi="Arial" w:cs="Arial"/>
          <w:color w:val="000000"/>
          <w:shd w:val="clear" w:color="auto" w:fill="FFFFFF"/>
          <w:lang w:eastAsia="en-IE"/>
        </w:rPr>
        <w:t>Donson</w:t>
      </w:r>
      <w:proofErr w:type="spellEnd"/>
      <w:r w:rsidRPr="002644A7">
        <w:rPr>
          <w:rFonts w:ascii="Arial" w:eastAsia="Times New Roman" w:hAnsi="Arial" w:cs="Arial"/>
          <w:color w:val="000000"/>
          <w:shd w:val="clear" w:color="auto" w:fill="FFFFFF"/>
          <w:lang w:eastAsia="en-IE"/>
        </w:rPr>
        <w:t>, Lecturer, School of Law and Director of the Centre for Criminal Justice and Human Right, University College Cork. </w:t>
      </w:r>
    </w:p>
    <w:p w14:paraId="2C933FB2"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proofErr w:type="spellStart"/>
      <w:r w:rsidRPr="002644A7">
        <w:rPr>
          <w:rFonts w:ascii="Arial" w:eastAsia="Times New Roman" w:hAnsi="Arial" w:cs="Arial"/>
          <w:color w:val="000000"/>
          <w:shd w:val="clear" w:color="auto" w:fill="FFFFFF"/>
          <w:lang w:eastAsia="en-IE"/>
        </w:rPr>
        <w:t>Dr.</w:t>
      </w:r>
      <w:proofErr w:type="spellEnd"/>
      <w:r w:rsidRPr="002644A7">
        <w:rPr>
          <w:rFonts w:ascii="Arial" w:eastAsia="Times New Roman" w:hAnsi="Arial" w:cs="Arial"/>
          <w:color w:val="000000"/>
          <w:shd w:val="clear" w:color="auto" w:fill="FFFFFF"/>
          <w:lang w:eastAsia="en-IE"/>
        </w:rPr>
        <w:t xml:space="preserve"> </w:t>
      </w:r>
      <w:proofErr w:type="spellStart"/>
      <w:r w:rsidRPr="002644A7">
        <w:rPr>
          <w:rFonts w:ascii="Arial" w:eastAsia="Times New Roman" w:hAnsi="Arial" w:cs="Arial"/>
          <w:color w:val="000000"/>
          <w:shd w:val="clear" w:color="auto" w:fill="FFFFFF"/>
          <w:lang w:eastAsia="en-IE"/>
        </w:rPr>
        <w:t>Sharae</w:t>
      </w:r>
      <w:proofErr w:type="spellEnd"/>
      <w:r w:rsidRPr="002644A7">
        <w:rPr>
          <w:rFonts w:ascii="Arial" w:eastAsia="Times New Roman" w:hAnsi="Arial" w:cs="Arial"/>
          <w:color w:val="000000"/>
          <w:shd w:val="clear" w:color="auto" w:fill="FFFFFF"/>
          <w:lang w:eastAsia="en-IE"/>
        </w:rPr>
        <w:t xml:space="preserve"> Deckard, Assistant Professor, School of English, Drama and Film Studies, UCD.</w:t>
      </w:r>
    </w:p>
    <w:p w14:paraId="27FF66F5"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Hilary Darcy, independent scholar.</w:t>
      </w:r>
    </w:p>
    <w:p w14:paraId="0C1D8FF0"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Professor </w:t>
      </w:r>
      <w:proofErr w:type="spellStart"/>
      <w:r w:rsidRPr="002644A7">
        <w:rPr>
          <w:rFonts w:ascii="Arial" w:eastAsia="Times New Roman" w:hAnsi="Arial" w:cs="Arial"/>
          <w:color w:val="000000"/>
          <w:shd w:val="clear" w:color="auto" w:fill="FFFFFF"/>
          <w:lang w:eastAsia="en-IE"/>
        </w:rPr>
        <w:t>Porscha</w:t>
      </w:r>
      <w:proofErr w:type="spellEnd"/>
      <w:r w:rsidRPr="002644A7">
        <w:rPr>
          <w:rFonts w:ascii="Arial" w:eastAsia="Times New Roman" w:hAnsi="Arial" w:cs="Arial"/>
          <w:color w:val="000000"/>
          <w:shd w:val="clear" w:color="auto" w:fill="FFFFFF"/>
          <w:lang w:eastAsia="en-IE"/>
        </w:rPr>
        <w:t xml:space="preserve"> </w:t>
      </w:r>
      <w:proofErr w:type="spellStart"/>
      <w:r w:rsidRPr="002644A7">
        <w:rPr>
          <w:rFonts w:ascii="Arial" w:eastAsia="Times New Roman" w:hAnsi="Arial" w:cs="Arial"/>
          <w:color w:val="000000"/>
          <w:shd w:val="clear" w:color="auto" w:fill="FFFFFF"/>
          <w:lang w:eastAsia="en-IE"/>
        </w:rPr>
        <w:t>Fermanis</w:t>
      </w:r>
      <w:proofErr w:type="spellEnd"/>
      <w:r w:rsidRPr="002644A7">
        <w:rPr>
          <w:rFonts w:ascii="Arial" w:eastAsia="Times New Roman" w:hAnsi="Arial" w:cs="Arial"/>
          <w:color w:val="000000"/>
          <w:shd w:val="clear" w:color="auto" w:fill="FFFFFF"/>
          <w:lang w:eastAsia="en-IE"/>
        </w:rPr>
        <w:t>, School of English, Drama and Film, UCD.</w:t>
      </w:r>
    </w:p>
    <w:p w14:paraId="65278FE0"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 xml:space="preserve">Dr Eoin </w:t>
      </w:r>
      <w:proofErr w:type="spellStart"/>
      <w:r w:rsidRPr="002644A7">
        <w:rPr>
          <w:rFonts w:ascii="Arial" w:eastAsia="Times New Roman" w:hAnsi="Arial" w:cs="Arial"/>
          <w:color w:val="000000"/>
          <w:shd w:val="clear" w:color="auto" w:fill="FFFFFF"/>
          <w:lang w:eastAsia="en-IE"/>
        </w:rPr>
        <w:t>O’Mahony</w:t>
      </w:r>
      <w:proofErr w:type="spellEnd"/>
      <w:r w:rsidRPr="002644A7">
        <w:rPr>
          <w:rFonts w:ascii="Arial" w:eastAsia="Times New Roman" w:hAnsi="Arial" w:cs="Arial"/>
          <w:color w:val="000000"/>
          <w:shd w:val="clear" w:color="auto" w:fill="FFFFFF"/>
          <w:lang w:eastAsia="en-IE"/>
        </w:rPr>
        <w:t>, independent scholar.</w:t>
      </w:r>
    </w:p>
    <w:p w14:paraId="39C76C3A"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Coleman A. Dennehy, Humanities Institute Research Associate, UCD. </w:t>
      </w:r>
    </w:p>
    <w:p w14:paraId="328FBD78"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Professor Maggie O’Neill, School of Sociology and Criminology, UCC.</w:t>
      </w:r>
    </w:p>
    <w:p w14:paraId="4F647A9C"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Avril Brandon, Lecturer/Assistant Professor in Criminology, Department of Law, Maynooth University.</w:t>
      </w:r>
    </w:p>
    <w:p w14:paraId="5CC0A097"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Dr Diarmuid Griffin, Lecturer in Law, NUI Galway.</w:t>
      </w:r>
    </w:p>
    <w:p w14:paraId="64DDAC9A" w14:textId="77777777" w:rsidR="002644A7" w:rsidRPr="002644A7" w:rsidRDefault="002644A7" w:rsidP="002644A7">
      <w:pPr>
        <w:numPr>
          <w:ilvl w:val="0"/>
          <w:numId w:val="5"/>
        </w:numPr>
        <w:shd w:val="clear" w:color="auto" w:fill="FFFFFF"/>
        <w:spacing w:after="0" w:line="240" w:lineRule="auto"/>
        <w:textAlignment w:val="baseline"/>
        <w:rPr>
          <w:rFonts w:ascii="Arial" w:eastAsia="Times New Roman" w:hAnsi="Arial" w:cs="Arial"/>
          <w:color w:val="000000"/>
          <w:lang w:eastAsia="en-IE"/>
        </w:rPr>
      </w:pPr>
      <w:r w:rsidRPr="002644A7">
        <w:rPr>
          <w:rFonts w:ascii="Arial" w:eastAsia="Times New Roman" w:hAnsi="Arial" w:cs="Arial"/>
          <w:color w:val="000000"/>
          <w:shd w:val="clear" w:color="auto" w:fill="FFFFFF"/>
          <w:lang w:eastAsia="en-IE"/>
        </w:rPr>
        <w:t>Professor Gary Murphy, School of Law and Government, DCU.</w:t>
      </w:r>
    </w:p>
    <w:p w14:paraId="0AC19F43" w14:textId="41077F04" w:rsidR="004645CA" w:rsidRPr="00DB47A1" w:rsidRDefault="004645CA" w:rsidP="00AE5423">
      <w:pPr>
        <w:rPr>
          <w:rFonts w:ascii="Arial" w:hAnsi="Arial" w:cs="Arial"/>
        </w:rPr>
      </w:pPr>
    </w:p>
    <w:p w14:paraId="57A0A6B3" w14:textId="49281098" w:rsidR="004645CA" w:rsidRPr="00DB47A1" w:rsidRDefault="004645CA" w:rsidP="00AE5423">
      <w:pPr>
        <w:rPr>
          <w:rFonts w:ascii="Arial" w:hAnsi="Arial" w:cs="Arial"/>
        </w:rPr>
      </w:pPr>
    </w:p>
    <w:p w14:paraId="211182D1" w14:textId="77777777" w:rsidR="004645CA" w:rsidRPr="00DB47A1" w:rsidRDefault="004645CA" w:rsidP="00AE5423">
      <w:pPr>
        <w:rPr>
          <w:rFonts w:ascii="Arial" w:hAnsi="Arial" w:cs="Arial"/>
        </w:rPr>
      </w:pPr>
    </w:p>
    <w:sectPr w:rsidR="004645CA" w:rsidRPr="00DB47A1">
      <w:footerReference w:type="even" r:id="rId13"/>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2B2A" w16cex:dateUtc="2020-09-08T15:09:00Z"/>
  <w16cex:commentExtensible w16cex:durableId="23022BF0" w16cex:dateUtc="2020-09-08T15: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70F9B" w14:textId="77777777" w:rsidR="00D867A8" w:rsidRDefault="00D867A8" w:rsidP="0049185E">
      <w:pPr>
        <w:spacing w:after="0" w:line="240" w:lineRule="auto"/>
      </w:pPr>
      <w:r>
        <w:separator/>
      </w:r>
    </w:p>
  </w:endnote>
  <w:endnote w:type="continuationSeparator" w:id="0">
    <w:p w14:paraId="6340A434" w14:textId="77777777" w:rsidR="00D867A8" w:rsidRDefault="00D867A8" w:rsidP="0049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3358019"/>
      <w:docPartObj>
        <w:docPartGallery w:val="Page Numbers (Bottom of Page)"/>
        <w:docPartUnique/>
      </w:docPartObj>
    </w:sdtPr>
    <w:sdtEndPr>
      <w:rPr>
        <w:rStyle w:val="PageNumber"/>
      </w:rPr>
    </w:sdtEndPr>
    <w:sdtContent>
      <w:p w14:paraId="7501DF19" w14:textId="09668D1A" w:rsidR="00F568E8" w:rsidRDefault="00F568E8" w:rsidP="001851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03A5F1" w14:textId="77777777" w:rsidR="00F568E8" w:rsidRDefault="00F568E8" w:rsidP="002A4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0142772"/>
      <w:docPartObj>
        <w:docPartGallery w:val="Page Numbers (Bottom of Page)"/>
        <w:docPartUnique/>
      </w:docPartObj>
    </w:sdtPr>
    <w:sdtEndPr>
      <w:rPr>
        <w:rStyle w:val="PageNumber"/>
      </w:rPr>
    </w:sdtEndPr>
    <w:sdtContent>
      <w:p w14:paraId="30FC7824" w14:textId="6D99EC82" w:rsidR="00F568E8" w:rsidRDefault="00F568E8" w:rsidP="001851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587139" w14:textId="77777777" w:rsidR="00F568E8" w:rsidRDefault="00F568E8" w:rsidP="00DF7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F099" w14:textId="77777777" w:rsidR="00D867A8" w:rsidRDefault="00D867A8" w:rsidP="0049185E">
      <w:pPr>
        <w:spacing w:after="0" w:line="240" w:lineRule="auto"/>
      </w:pPr>
      <w:r>
        <w:separator/>
      </w:r>
    </w:p>
  </w:footnote>
  <w:footnote w:type="continuationSeparator" w:id="0">
    <w:p w14:paraId="21B3FF62" w14:textId="77777777" w:rsidR="00D867A8" w:rsidRDefault="00D867A8" w:rsidP="0049185E">
      <w:pPr>
        <w:spacing w:after="0" w:line="240" w:lineRule="auto"/>
      </w:pPr>
      <w:r>
        <w:continuationSeparator/>
      </w:r>
    </w:p>
  </w:footnote>
  <w:footnote w:id="1">
    <w:p w14:paraId="46149CF7" w14:textId="3F353771" w:rsidR="00701456" w:rsidRPr="004645CA" w:rsidRDefault="00701456">
      <w:pPr>
        <w:pStyle w:val="FootnoteText"/>
        <w:rPr>
          <w:lang w:val="en-GB"/>
        </w:rPr>
      </w:pPr>
      <w:r>
        <w:rPr>
          <w:rStyle w:val="FootnoteReference"/>
        </w:rPr>
        <w:footnoteRef/>
      </w:r>
      <w:r>
        <w:t xml:space="preserve"> </w:t>
      </w:r>
      <w:r w:rsidR="00E85C56">
        <w:rPr>
          <w:lang w:val="en-GB"/>
        </w:rPr>
        <w:t>S</w:t>
      </w:r>
      <w:r>
        <w:rPr>
          <w:lang w:val="en-GB"/>
        </w:rPr>
        <w:t xml:space="preserve">ection 48, amending </w:t>
      </w:r>
      <w:r w:rsidR="00E85C56">
        <w:rPr>
          <w:lang w:val="en-GB"/>
        </w:rPr>
        <w:t xml:space="preserve">s9 of the </w:t>
      </w:r>
      <w:r w:rsidR="00E85C56" w:rsidRPr="004645CA">
        <w:rPr>
          <w:i/>
          <w:iCs/>
          <w:lang w:val="en-GB"/>
        </w:rPr>
        <w:t>Criminal Law (Rape) (Amendment) Act 1990</w:t>
      </w:r>
      <w:r w:rsidR="00E85C56">
        <w:rPr>
          <w:lang w:val="en-GB"/>
        </w:rPr>
        <w:t xml:space="preserve">. </w:t>
      </w:r>
      <w:r>
        <w:rPr>
          <w:lang w:val="en-GB"/>
        </w:rPr>
        <w:t xml:space="preserve"> </w:t>
      </w:r>
    </w:p>
  </w:footnote>
  <w:footnote w:id="2">
    <w:p w14:paraId="4B6BAF40" w14:textId="117B2B20" w:rsidR="00CB5EB6" w:rsidRPr="005C3D51" w:rsidRDefault="00CB5EB6">
      <w:pPr>
        <w:pStyle w:val="FootnoteText"/>
        <w:rPr>
          <w:lang w:val="en-GB"/>
        </w:rPr>
      </w:pPr>
      <w:r>
        <w:rPr>
          <w:rStyle w:val="FootnoteReference"/>
        </w:rPr>
        <w:footnoteRef/>
      </w:r>
      <w:r w:rsidR="003826EB">
        <w:rPr>
          <w:i/>
          <w:iCs/>
        </w:rPr>
        <w:t xml:space="preserve"> </w:t>
      </w:r>
      <w:r w:rsidR="0052342F">
        <w:t xml:space="preserve">Commission on the Future of Policing in Ireland, </w:t>
      </w:r>
      <w:r w:rsidR="003826EB">
        <w:rPr>
          <w:i/>
          <w:iCs/>
        </w:rPr>
        <w:t>The Future of Policing in Irelan</w:t>
      </w:r>
      <w:r w:rsidR="00727B5E">
        <w:rPr>
          <w:i/>
          <w:iCs/>
        </w:rPr>
        <w:t>d</w:t>
      </w:r>
      <w:r w:rsidR="0052342F">
        <w:rPr>
          <w:i/>
          <w:iCs/>
        </w:rPr>
        <w:t xml:space="preserve"> </w:t>
      </w:r>
      <w:r w:rsidR="0052342F" w:rsidRPr="005C3D51">
        <w:t>(</w:t>
      </w:r>
      <w:r w:rsidRPr="005C3D51">
        <w:t>2018</w:t>
      </w:r>
      <w:r w:rsidR="0052342F" w:rsidRPr="005C3D51">
        <w:t>)</w:t>
      </w:r>
      <w:r w:rsidR="003826EB">
        <w:rPr>
          <w:i/>
          <w:iCs/>
        </w:rPr>
        <w:t xml:space="preserve"> p.</w:t>
      </w:r>
      <w:r w:rsidRPr="00BA7A30">
        <w:rPr>
          <w:i/>
          <w:iCs/>
        </w:rPr>
        <w:t xml:space="preserve"> 13</w:t>
      </w:r>
      <w:r w:rsidR="00727B5E">
        <w:rPr>
          <w:i/>
          <w:iCs/>
        </w:rPr>
        <w:t>.</w:t>
      </w:r>
    </w:p>
  </w:footnote>
  <w:footnote w:id="3">
    <w:p w14:paraId="715E3AE8" w14:textId="76FB598E" w:rsidR="0059481E" w:rsidRDefault="0059481E">
      <w:pPr>
        <w:pStyle w:val="FootnoteText"/>
      </w:pPr>
      <w:r>
        <w:rPr>
          <w:rStyle w:val="FootnoteReference"/>
        </w:rPr>
        <w:footnoteRef/>
      </w:r>
      <w:r>
        <w:t xml:space="preserve"> </w:t>
      </w:r>
      <w:r w:rsidRPr="0059481E">
        <w:t>https://www.who.int/gender/documents/sexworkers.pdf</w:t>
      </w:r>
    </w:p>
  </w:footnote>
  <w:footnote w:id="4">
    <w:p w14:paraId="125D4C5B" w14:textId="73C76CBE" w:rsidR="002A48C9" w:rsidRDefault="002A48C9">
      <w:pPr>
        <w:pStyle w:val="FootnoteText"/>
      </w:pPr>
      <w:r>
        <w:rPr>
          <w:rStyle w:val="FootnoteReference"/>
        </w:rPr>
        <w:footnoteRef/>
      </w:r>
      <w:r>
        <w:t xml:space="preserve"> It was previously an offence under </w:t>
      </w:r>
      <w:r w:rsidRPr="002A48C9">
        <w:rPr>
          <w:i/>
          <w:iCs/>
        </w:rPr>
        <w:t>the Criminal Law (Amendment) Act 1885</w:t>
      </w:r>
      <w:r>
        <w:t>.</w:t>
      </w:r>
    </w:p>
  </w:footnote>
  <w:footnote w:id="5">
    <w:p w14:paraId="7894F98B" w14:textId="46104679" w:rsidR="00B77A21" w:rsidRPr="005C3D51" w:rsidRDefault="00B77A21">
      <w:pPr>
        <w:pStyle w:val="FootnoteText"/>
        <w:rPr>
          <w:lang w:val="en-GB"/>
        </w:rPr>
      </w:pPr>
      <w:r>
        <w:rPr>
          <w:rStyle w:val="FootnoteReference"/>
        </w:rPr>
        <w:footnoteRef/>
      </w:r>
      <w:r>
        <w:t xml:space="preserve"> </w:t>
      </w:r>
      <w:r w:rsidR="00FE3C27">
        <w:rPr>
          <w:lang w:val="en-GB"/>
        </w:rPr>
        <w:t xml:space="preserve">[1981] IR 233. </w:t>
      </w:r>
    </w:p>
  </w:footnote>
  <w:footnote w:id="6">
    <w:p w14:paraId="4B740506" w14:textId="3B66663E" w:rsidR="00000AD5" w:rsidRPr="005C3D51" w:rsidRDefault="00000AD5">
      <w:pPr>
        <w:pStyle w:val="FootnoteText"/>
        <w:rPr>
          <w:lang w:val="en-GB"/>
        </w:rPr>
      </w:pPr>
      <w:r>
        <w:rPr>
          <w:rStyle w:val="FootnoteReference"/>
        </w:rPr>
        <w:footnoteRef/>
      </w:r>
      <w:r>
        <w:t xml:space="preserve"> The </w:t>
      </w:r>
      <w:r w:rsidRPr="005C3D51">
        <w:rPr>
          <w:i/>
          <w:iCs/>
          <w:lang w:val="en-GB"/>
        </w:rPr>
        <w:t>King</w:t>
      </w:r>
      <w:r>
        <w:rPr>
          <w:lang w:val="en-GB"/>
        </w:rPr>
        <w:t xml:space="preserve"> case concerned </w:t>
      </w:r>
      <w:r w:rsidR="0080266F">
        <w:rPr>
          <w:lang w:val="en-GB"/>
        </w:rPr>
        <w:t xml:space="preserve">s4 of the Vagrancy Act 1824, as amended, </w:t>
      </w:r>
      <w:r>
        <w:rPr>
          <w:lang w:val="en-GB"/>
        </w:rPr>
        <w:t xml:space="preserve">but it was clear that the </w:t>
      </w:r>
      <w:r>
        <w:t>as it was clear that the. ruling also applied to s.16 of the 1935 Act.</w:t>
      </w:r>
    </w:p>
  </w:footnote>
  <w:footnote w:id="7">
    <w:p w14:paraId="38AF42FE" w14:textId="7AD6C761" w:rsidR="001C3840" w:rsidRPr="00DA53DB" w:rsidRDefault="001C3840">
      <w:pPr>
        <w:pStyle w:val="FootnoteText"/>
        <w:rPr>
          <w:lang w:val="en-GB"/>
        </w:rPr>
      </w:pPr>
      <w:r>
        <w:rPr>
          <w:rStyle w:val="FootnoteReference"/>
        </w:rPr>
        <w:footnoteRef/>
      </w:r>
      <w:r>
        <w:t xml:space="preserve"> </w:t>
      </w:r>
      <w:r>
        <w:rPr>
          <w:lang w:val="en-GB"/>
        </w:rPr>
        <w:t xml:space="preserve">This provision also criminalised the buyer of sex or anyone acting on behalf of the buyer or the seller. </w:t>
      </w:r>
    </w:p>
  </w:footnote>
  <w:footnote w:id="8">
    <w:p w14:paraId="298C3933" w14:textId="35D7C710" w:rsidR="00BB5C53" w:rsidRPr="002A48C9" w:rsidRDefault="00BB5C53">
      <w:pPr>
        <w:pStyle w:val="FootnoteText"/>
        <w:rPr>
          <w:lang w:val="en-GB"/>
        </w:rPr>
      </w:pPr>
      <w:r>
        <w:rPr>
          <w:rStyle w:val="FootnoteReference"/>
        </w:rPr>
        <w:footnoteRef/>
      </w:r>
      <w:r>
        <w:t xml:space="preserve"> </w:t>
      </w:r>
      <w:r>
        <w:rPr>
          <w:lang w:val="en-GB"/>
        </w:rPr>
        <w:t>Criminal Law (Sexual Offences) Bill 2015 Seanad Second Stage</w:t>
      </w:r>
      <w:r w:rsidR="00EA7454">
        <w:rPr>
          <w:lang w:val="en-GB"/>
        </w:rPr>
        <w:t xml:space="preserve"> Debate</w:t>
      </w:r>
      <w:r>
        <w:rPr>
          <w:lang w:val="en-GB"/>
        </w:rPr>
        <w:t xml:space="preserve">, </w:t>
      </w:r>
      <w:r w:rsidR="00524E84">
        <w:rPr>
          <w:lang w:val="en-GB"/>
        </w:rPr>
        <w:t>Thursday 28 January 2016.</w:t>
      </w:r>
    </w:p>
  </w:footnote>
  <w:footnote w:id="9">
    <w:p w14:paraId="67225AD4" w14:textId="0014BFF2" w:rsidR="006F5CE9" w:rsidRPr="002A48C9" w:rsidRDefault="006F5CE9">
      <w:pPr>
        <w:pStyle w:val="FootnoteText"/>
        <w:rPr>
          <w:lang w:val="en-GB"/>
        </w:rPr>
      </w:pPr>
      <w:r>
        <w:rPr>
          <w:rStyle w:val="FootnoteReference"/>
        </w:rPr>
        <w:footnoteRef/>
      </w:r>
      <w:r>
        <w:t xml:space="preserve"> </w:t>
      </w:r>
      <w:r>
        <w:rPr>
          <w:lang w:val="en-GB"/>
        </w:rPr>
        <w:t>IR£250 in the 1993 Act.</w:t>
      </w:r>
    </w:p>
  </w:footnote>
  <w:footnote w:id="10">
    <w:p w14:paraId="1D8C3A27" w14:textId="76499FAC" w:rsidR="002D79FD" w:rsidRPr="000C42FD" w:rsidRDefault="002D79FD">
      <w:pPr>
        <w:pStyle w:val="FootnoteText"/>
        <w:rPr>
          <w:lang w:val="en-GB"/>
        </w:rPr>
      </w:pPr>
      <w:r>
        <w:rPr>
          <w:rStyle w:val="FootnoteReference"/>
        </w:rPr>
        <w:footnoteRef/>
      </w:r>
      <w:r>
        <w:t xml:space="preserve"> </w:t>
      </w:r>
      <w:r>
        <w:rPr>
          <w:lang w:val="en-GB"/>
        </w:rPr>
        <w:t xml:space="preserve">S25(c) </w:t>
      </w:r>
      <w:r w:rsidRPr="002A48C9">
        <w:rPr>
          <w:i/>
          <w:iCs/>
          <w:lang w:val="en-GB"/>
        </w:rPr>
        <w:t>Criminal Law (Sexual Offences) Act 2017</w:t>
      </w:r>
      <w:r>
        <w:rPr>
          <w:lang w:val="en-GB"/>
        </w:rPr>
        <w:t xml:space="preserve">. </w:t>
      </w:r>
    </w:p>
  </w:footnote>
  <w:footnote w:id="11">
    <w:p w14:paraId="231509CA" w14:textId="1340D7A6" w:rsidR="0064207F" w:rsidRDefault="0064207F">
      <w:pPr>
        <w:pStyle w:val="FootnoteText"/>
      </w:pPr>
      <w:r>
        <w:rPr>
          <w:rStyle w:val="FootnoteReference"/>
        </w:rPr>
        <w:footnoteRef/>
      </w:r>
      <w:r>
        <w:t xml:space="preserve"> </w:t>
      </w:r>
      <w:proofErr w:type="spellStart"/>
      <w:r>
        <w:rPr>
          <w:rFonts w:ascii="Arial" w:hAnsi="Arial" w:cs="Arial"/>
          <w:color w:val="222222"/>
          <w:shd w:val="clear" w:color="auto" w:fill="FFFFFF"/>
        </w:rPr>
        <w:t>Krüsi</w:t>
      </w:r>
      <w:proofErr w:type="spellEnd"/>
      <w:r>
        <w:rPr>
          <w:rFonts w:ascii="Arial" w:hAnsi="Arial" w:cs="Arial"/>
          <w:color w:val="222222"/>
          <w:shd w:val="clear" w:color="auto" w:fill="FFFFFF"/>
        </w:rPr>
        <w:t>, Andrea, et al. "Criminalisation of clients: reproducing vulnerabilities for violence and poor health among street-based sex workers in Canada—a qualitative study." </w:t>
      </w:r>
      <w:r>
        <w:rPr>
          <w:rFonts w:ascii="Arial" w:hAnsi="Arial" w:cs="Arial"/>
          <w:i/>
          <w:iCs/>
          <w:color w:val="222222"/>
          <w:shd w:val="clear" w:color="auto" w:fill="FFFFFF"/>
        </w:rPr>
        <w:t>BMJ open</w:t>
      </w:r>
      <w:r>
        <w:rPr>
          <w:rFonts w:ascii="Arial" w:hAnsi="Arial" w:cs="Arial"/>
          <w:color w:val="222222"/>
          <w:shd w:val="clear" w:color="auto" w:fill="FFFFFF"/>
        </w:rPr>
        <w:t> 4.6 (2014): e005191.</w:t>
      </w:r>
    </w:p>
  </w:footnote>
  <w:footnote w:id="12">
    <w:p w14:paraId="1D974D75" w14:textId="053D4B05" w:rsidR="00C0009C" w:rsidRPr="002A48C9" w:rsidRDefault="00C0009C">
      <w:pPr>
        <w:pStyle w:val="FootnoteText"/>
        <w:rPr>
          <w:lang w:val="en-GB"/>
        </w:rPr>
      </w:pPr>
      <w:r>
        <w:rPr>
          <w:rStyle w:val="FootnoteReference"/>
        </w:rPr>
        <w:footnoteRef/>
      </w:r>
      <w:r>
        <w:t xml:space="preserve"> Ugly Mugs, “Crime has almost doubled n eth two years since the new law came in” available at </w:t>
      </w:r>
      <w:r w:rsidRPr="00C0009C">
        <w:t>https://uglymugs.ie/wp-content/uploads/um-statement-26-mar-2019.pdf</w:t>
      </w:r>
    </w:p>
  </w:footnote>
  <w:footnote w:id="13">
    <w:p w14:paraId="2780788F" w14:textId="4B76591B" w:rsidR="009E3392" w:rsidRDefault="009E3392">
      <w:pPr>
        <w:pStyle w:val="FootnoteText"/>
      </w:pPr>
      <w:r>
        <w:rPr>
          <w:rStyle w:val="FootnoteReference"/>
        </w:rPr>
        <w:footnoteRef/>
      </w:r>
      <w:r>
        <w:t xml:space="preserve"> </w:t>
      </w:r>
      <w:r w:rsidR="00212745" w:rsidRPr="00212745">
        <w:t>https://www.who.int/gender/documents/sexworkers.pdf</w:t>
      </w:r>
    </w:p>
  </w:footnote>
  <w:footnote w:id="14">
    <w:p w14:paraId="0A058440" w14:textId="0D69CE2C" w:rsidR="0049185E" w:rsidRDefault="0049185E">
      <w:pPr>
        <w:pStyle w:val="FootnoteText"/>
      </w:pPr>
      <w:r>
        <w:rPr>
          <w:rStyle w:val="FootnoteReference"/>
        </w:rPr>
        <w:footnoteRef/>
      </w:r>
      <w:r>
        <w:t xml:space="preserve"> </w:t>
      </w:r>
      <w:hyperlink r:id="rId1" w:history="1">
        <w:r>
          <w:rPr>
            <w:rStyle w:val="Hyperlink"/>
          </w:rPr>
          <w:t>https://www.immigrantcouncil.ie/sites/default/files/2020-01/2020HLWGInterimReportSOA2017ByGeoffreyShannon.pdf</w:t>
        </w:r>
      </w:hyperlink>
    </w:p>
  </w:footnote>
  <w:footnote w:id="15">
    <w:p w14:paraId="01D6EA48" w14:textId="1B11F4E3" w:rsidR="00BE6E14" w:rsidRDefault="00BE6E14">
      <w:pPr>
        <w:pStyle w:val="FootnoteText"/>
      </w:pPr>
      <w:r>
        <w:rPr>
          <w:rStyle w:val="FootnoteReference"/>
        </w:rPr>
        <w:footnoteRef/>
      </w:r>
      <w:r>
        <w:t xml:space="preserve"> Paul Ryan</w:t>
      </w:r>
      <w:r w:rsidR="00F40635">
        <w:t>,</w:t>
      </w:r>
      <w:r>
        <w:t xml:space="preserve"> </w:t>
      </w:r>
      <w:r w:rsidRPr="00F40635">
        <w:rPr>
          <w:i/>
          <w:iCs/>
        </w:rPr>
        <w:t>Male Sex Work in a Digital Age</w:t>
      </w:r>
      <w:r w:rsidR="00F40635" w:rsidRPr="00F40635">
        <w:rPr>
          <w:i/>
          <w:iCs/>
        </w:rPr>
        <w:t>: Curated Lives</w:t>
      </w:r>
      <w:r w:rsidR="00F40635">
        <w:t xml:space="preserve"> (2019) Palgrave.</w:t>
      </w:r>
    </w:p>
  </w:footnote>
  <w:footnote w:id="16">
    <w:p w14:paraId="28AD7C5B" w14:textId="05161BFC" w:rsidR="00B715F6" w:rsidRDefault="00B715F6">
      <w:pPr>
        <w:pStyle w:val="FootnoteText"/>
      </w:pPr>
      <w:r>
        <w:rPr>
          <w:rStyle w:val="FootnoteReference"/>
        </w:rPr>
        <w:footnoteRef/>
      </w:r>
      <w:r>
        <w:t xml:space="preserve"> </w:t>
      </w:r>
      <w:r w:rsidRPr="00B715F6">
        <w:t>https://tortoiseshack.ie/policed-in-ireland-sex-work-ep-2/</w:t>
      </w:r>
    </w:p>
  </w:footnote>
  <w:footnote w:id="17">
    <w:p w14:paraId="12E18EE7" w14:textId="117BCDA7" w:rsidR="007A3F86" w:rsidRPr="00B1448E" w:rsidRDefault="007A3F86">
      <w:pPr>
        <w:pStyle w:val="FootnoteText"/>
        <w:rPr>
          <w:rFonts w:cstheme="minorHAnsi"/>
        </w:rPr>
      </w:pPr>
      <w:r w:rsidRPr="00B1448E">
        <w:rPr>
          <w:rStyle w:val="FootnoteReference"/>
          <w:rFonts w:cstheme="minorHAnsi"/>
        </w:rPr>
        <w:footnoteRef/>
      </w:r>
      <w:r w:rsidRPr="00B1448E">
        <w:rPr>
          <w:rFonts w:cstheme="minorHAnsi"/>
        </w:rPr>
        <w:t xml:space="preserve"> </w:t>
      </w:r>
      <w:r w:rsidRPr="002A48C9">
        <w:rPr>
          <w:rFonts w:cstheme="minorHAnsi"/>
          <w:color w:val="222222"/>
          <w:shd w:val="clear" w:color="auto" w:fill="FFFFFF"/>
        </w:rPr>
        <w:t xml:space="preserve">Armstrong, </w:t>
      </w:r>
      <w:proofErr w:type="spellStart"/>
      <w:r w:rsidRPr="002A48C9">
        <w:rPr>
          <w:rFonts w:cstheme="minorHAnsi"/>
          <w:color w:val="222222"/>
          <w:shd w:val="clear" w:color="auto" w:fill="FFFFFF"/>
        </w:rPr>
        <w:t>Lynzi</w:t>
      </w:r>
      <w:proofErr w:type="spellEnd"/>
      <w:r w:rsidRPr="002A48C9">
        <w:rPr>
          <w:rFonts w:cstheme="minorHAnsi"/>
          <w:color w:val="222222"/>
          <w:shd w:val="clear" w:color="auto" w:fill="FFFFFF"/>
        </w:rPr>
        <w:t>. "From law enforcement to protection? Interactions between sex workers and police in a decriminalized street-based sex industry." </w:t>
      </w:r>
      <w:r w:rsidRPr="002A48C9">
        <w:rPr>
          <w:rFonts w:cstheme="minorHAnsi"/>
          <w:i/>
          <w:iCs/>
          <w:color w:val="222222"/>
          <w:shd w:val="clear" w:color="auto" w:fill="FFFFFF"/>
        </w:rPr>
        <w:t>British Journal of Criminology</w:t>
      </w:r>
      <w:r w:rsidRPr="002A48C9">
        <w:rPr>
          <w:rFonts w:cstheme="minorHAnsi"/>
          <w:color w:val="222222"/>
          <w:shd w:val="clear" w:color="auto" w:fill="FFFFFF"/>
        </w:rPr>
        <w:t> 57.3 (2017): 570-588.</w:t>
      </w:r>
    </w:p>
  </w:footnote>
  <w:footnote w:id="18">
    <w:p w14:paraId="24CA2324" w14:textId="6747CF37" w:rsidR="00700357" w:rsidRDefault="00700357">
      <w:pPr>
        <w:pStyle w:val="FootnoteText"/>
      </w:pPr>
      <w:r w:rsidRPr="00B1448E">
        <w:rPr>
          <w:rStyle w:val="FootnoteReference"/>
          <w:rFonts w:cstheme="minorHAnsi"/>
        </w:rPr>
        <w:footnoteRef/>
      </w:r>
      <w:r w:rsidRPr="00B1448E">
        <w:rPr>
          <w:rFonts w:cstheme="minorHAnsi"/>
        </w:rPr>
        <w:t xml:space="preserve"> Ellison, Graham</w:t>
      </w:r>
      <w:r w:rsidRPr="00700357">
        <w:t>, and Lucy Smith. "Hate crime legislation and violence against sex workers in Ireland: Lessons in policy and practice." </w:t>
      </w:r>
      <w:r w:rsidRPr="00700357">
        <w:rPr>
          <w:i/>
          <w:iCs/>
        </w:rPr>
        <w:t>Critical Perspectives on Hate Crime</w:t>
      </w:r>
      <w:r w:rsidRPr="00700357">
        <w:t>. Palgrave Macmillan, London, 2017. 179-207.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159C"/>
    <w:multiLevelType w:val="hybridMultilevel"/>
    <w:tmpl w:val="1FA2058C"/>
    <w:lvl w:ilvl="0" w:tplc="A9F6D9A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B472EDD"/>
    <w:multiLevelType w:val="multilevel"/>
    <w:tmpl w:val="249E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57B28"/>
    <w:multiLevelType w:val="hybridMultilevel"/>
    <w:tmpl w:val="05389BF8"/>
    <w:lvl w:ilvl="0" w:tplc="EFC87CCE">
      <w:start w:val="1"/>
      <w:numFmt w:val="bullet"/>
      <w:lvlText w:val="•"/>
      <w:lvlJc w:val="left"/>
      <w:pPr>
        <w:tabs>
          <w:tab w:val="num" w:pos="720"/>
        </w:tabs>
        <w:ind w:left="720" w:hanging="360"/>
      </w:pPr>
      <w:rPr>
        <w:rFonts w:ascii="Arial" w:hAnsi="Arial" w:hint="default"/>
      </w:rPr>
    </w:lvl>
    <w:lvl w:ilvl="1" w:tplc="510A5ABE">
      <w:numFmt w:val="bullet"/>
      <w:lvlText w:val="•"/>
      <w:lvlJc w:val="left"/>
      <w:pPr>
        <w:tabs>
          <w:tab w:val="num" w:pos="1440"/>
        </w:tabs>
        <w:ind w:left="1440" w:hanging="360"/>
      </w:pPr>
      <w:rPr>
        <w:rFonts w:ascii="Arial" w:hAnsi="Arial" w:hint="default"/>
      </w:rPr>
    </w:lvl>
    <w:lvl w:ilvl="2" w:tplc="A6245E28" w:tentative="1">
      <w:start w:val="1"/>
      <w:numFmt w:val="bullet"/>
      <w:lvlText w:val="•"/>
      <w:lvlJc w:val="left"/>
      <w:pPr>
        <w:tabs>
          <w:tab w:val="num" w:pos="2160"/>
        </w:tabs>
        <w:ind w:left="2160" w:hanging="360"/>
      </w:pPr>
      <w:rPr>
        <w:rFonts w:ascii="Arial" w:hAnsi="Arial" w:hint="default"/>
      </w:rPr>
    </w:lvl>
    <w:lvl w:ilvl="3" w:tplc="9724B374" w:tentative="1">
      <w:start w:val="1"/>
      <w:numFmt w:val="bullet"/>
      <w:lvlText w:val="•"/>
      <w:lvlJc w:val="left"/>
      <w:pPr>
        <w:tabs>
          <w:tab w:val="num" w:pos="2880"/>
        </w:tabs>
        <w:ind w:left="2880" w:hanging="360"/>
      </w:pPr>
      <w:rPr>
        <w:rFonts w:ascii="Arial" w:hAnsi="Arial" w:hint="default"/>
      </w:rPr>
    </w:lvl>
    <w:lvl w:ilvl="4" w:tplc="0AB2C526" w:tentative="1">
      <w:start w:val="1"/>
      <w:numFmt w:val="bullet"/>
      <w:lvlText w:val="•"/>
      <w:lvlJc w:val="left"/>
      <w:pPr>
        <w:tabs>
          <w:tab w:val="num" w:pos="3600"/>
        </w:tabs>
        <w:ind w:left="3600" w:hanging="360"/>
      </w:pPr>
      <w:rPr>
        <w:rFonts w:ascii="Arial" w:hAnsi="Arial" w:hint="default"/>
      </w:rPr>
    </w:lvl>
    <w:lvl w:ilvl="5" w:tplc="F1B8BCF2" w:tentative="1">
      <w:start w:val="1"/>
      <w:numFmt w:val="bullet"/>
      <w:lvlText w:val="•"/>
      <w:lvlJc w:val="left"/>
      <w:pPr>
        <w:tabs>
          <w:tab w:val="num" w:pos="4320"/>
        </w:tabs>
        <w:ind w:left="4320" w:hanging="360"/>
      </w:pPr>
      <w:rPr>
        <w:rFonts w:ascii="Arial" w:hAnsi="Arial" w:hint="default"/>
      </w:rPr>
    </w:lvl>
    <w:lvl w:ilvl="6" w:tplc="130E5B40" w:tentative="1">
      <w:start w:val="1"/>
      <w:numFmt w:val="bullet"/>
      <w:lvlText w:val="•"/>
      <w:lvlJc w:val="left"/>
      <w:pPr>
        <w:tabs>
          <w:tab w:val="num" w:pos="5040"/>
        </w:tabs>
        <w:ind w:left="5040" w:hanging="360"/>
      </w:pPr>
      <w:rPr>
        <w:rFonts w:ascii="Arial" w:hAnsi="Arial" w:hint="default"/>
      </w:rPr>
    </w:lvl>
    <w:lvl w:ilvl="7" w:tplc="15107D60" w:tentative="1">
      <w:start w:val="1"/>
      <w:numFmt w:val="bullet"/>
      <w:lvlText w:val="•"/>
      <w:lvlJc w:val="left"/>
      <w:pPr>
        <w:tabs>
          <w:tab w:val="num" w:pos="5760"/>
        </w:tabs>
        <w:ind w:left="5760" w:hanging="360"/>
      </w:pPr>
      <w:rPr>
        <w:rFonts w:ascii="Arial" w:hAnsi="Arial" w:hint="default"/>
      </w:rPr>
    </w:lvl>
    <w:lvl w:ilvl="8" w:tplc="47FE6F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150461"/>
    <w:multiLevelType w:val="multilevel"/>
    <w:tmpl w:val="686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244D8B"/>
    <w:multiLevelType w:val="hybridMultilevel"/>
    <w:tmpl w:val="4D201694"/>
    <w:lvl w:ilvl="0" w:tplc="BAE20DB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99"/>
    <w:rsid w:val="00000AD5"/>
    <w:rsid w:val="00014459"/>
    <w:rsid w:val="0002084E"/>
    <w:rsid w:val="000240CA"/>
    <w:rsid w:val="00035CA0"/>
    <w:rsid w:val="00036CDC"/>
    <w:rsid w:val="0004171E"/>
    <w:rsid w:val="0004221C"/>
    <w:rsid w:val="00051C9E"/>
    <w:rsid w:val="000561CC"/>
    <w:rsid w:val="00057CEF"/>
    <w:rsid w:val="00083F11"/>
    <w:rsid w:val="00094155"/>
    <w:rsid w:val="000973B8"/>
    <w:rsid w:val="000B3A81"/>
    <w:rsid w:val="000C42FD"/>
    <w:rsid w:val="000C57C2"/>
    <w:rsid w:val="000D4EF3"/>
    <w:rsid w:val="000E0997"/>
    <w:rsid w:val="000E5E41"/>
    <w:rsid w:val="000F20FF"/>
    <w:rsid w:val="001000C5"/>
    <w:rsid w:val="00135607"/>
    <w:rsid w:val="00141A66"/>
    <w:rsid w:val="00146789"/>
    <w:rsid w:val="00147866"/>
    <w:rsid w:val="00161E45"/>
    <w:rsid w:val="00164B99"/>
    <w:rsid w:val="00164F17"/>
    <w:rsid w:val="00176049"/>
    <w:rsid w:val="00184769"/>
    <w:rsid w:val="00185253"/>
    <w:rsid w:val="00185D0E"/>
    <w:rsid w:val="001B2686"/>
    <w:rsid w:val="001B6367"/>
    <w:rsid w:val="001C3840"/>
    <w:rsid w:val="001C39B4"/>
    <w:rsid w:val="00204688"/>
    <w:rsid w:val="00212745"/>
    <w:rsid w:val="002201A5"/>
    <w:rsid w:val="00221F73"/>
    <w:rsid w:val="002332B5"/>
    <w:rsid w:val="00235E4D"/>
    <w:rsid w:val="00247144"/>
    <w:rsid w:val="0025100E"/>
    <w:rsid w:val="00263C42"/>
    <w:rsid w:val="002644A7"/>
    <w:rsid w:val="002944A0"/>
    <w:rsid w:val="002A48C9"/>
    <w:rsid w:val="002A7E6B"/>
    <w:rsid w:val="002C0D9B"/>
    <w:rsid w:val="002C1E0D"/>
    <w:rsid w:val="002D261B"/>
    <w:rsid w:val="002D763B"/>
    <w:rsid w:val="002D79FD"/>
    <w:rsid w:val="002E391B"/>
    <w:rsid w:val="002E6587"/>
    <w:rsid w:val="0030300B"/>
    <w:rsid w:val="00326150"/>
    <w:rsid w:val="00335FB3"/>
    <w:rsid w:val="00351282"/>
    <w:rsid w:val="00351A30"/>
    <w:rsid w:val="00353958"/>
    <w:rsid w:val="00372061"/>
    <w:rsid w:val="0038259B"/>
    <w:rsid w:val="003826EB"/>
    <w:rsid w:val="003B07C7"/>
    <w:rsid w:val="003B6E75"/>
    <w:rsid w:val="003B7FBA"/>
    <w:rsid w:val="003C3B94"/>
    <w:rsid w:val="003E597E"/>
    <w:rsid w:val="003F3EB6"/>
    <w:rsid w:val="003F78C1"/>
    <w:rsid w:val="00404EF8"/>
    <w:rsid w:val="004063FD"/>
    <w:rsid w:val="00425050"/>
    <w:rsid w:val="00434F18"/>
    <w:rsid w:val="004510E3"/>
    <w:rsid w:val="0045632D"/>
    <w:rsid w:val="004645CA"/>
    <w:rsid w:val="004655CE"/>
    <w:rsid w:val="0047071B"/>
    <w:rsid w:val="00477984"/>
    <w:rsid w:val="00480B53"/>
    <w:rsid w:val="0049185E"/>
    <w:rsid w:val="00495742"/>
    <w:rsid w:val="00496CDA"/>
    <w:rsid w:val="004A748F"/>
    <w:rsid w:val="004A754F"/>
    <w:rsid w:val="004C354A"/>
    <w:rsid w:val="004F1314"/>
    <w:rsid w:val="004F44AC"/>
    <w:rsid w:val="00503087"/>
    <w:rsid w:val="0050436E"/>
    <w:rsid w:val="005058F4"/>
    <w:rsid w:val="005112A9"/>
    <w:rsid w:val="005115C0"/>
    <w:rsid w:val="00517376"/>
    <w:rsid w:val="0052342F"/>
    <w:rsid w:val="00524E84"/>
    <w:rsid w:val="00536B44"/>
    <w:rsid w:val="00537602"/>
    <w:rsid w:val="00546099"/>
    <w:rsid w:val="00554947"/>
    <w:rsid w:val="00571CCD"/>
    <w:rsid w:val="00575874"/>
    <w:rsid w:val="00582499"/>
    <w:rsid w:val="0059111E"/>
    <w:rsid w:val="0059481E"/>
    <w:rsid w:val="005A05BC"/>
    <w:rsid w:val="005A127A"/>
    <w:rsid w:val="005A7930"/>
    <w:rsid w:val="005B682E"/>
    <w:rsid w:val="005C16B8"/>
    <w:rsid w:val="005C179D"/>
    <w:rsid w:val="005C1C34"/>
    <w:rsid w:val="005C3D51"/>
    <w:rsid w:val="005D0FB0"/>
    <w:rsid w:val="005E3F55"/>
    <w:rsid w:val="005F2DF8"/>
    <w:rsid w:val="005F44E2"/>
    <w:rsid w:val="00612A93"/>
    <w:rsid w:val="00624292"/>
    <w:rsid w:val="00625AC3"/>
    <w:rsid w:val="0064207F"/>
    <w:rsid w:val="00651F61"/>
    <w:rsid w:val="006850B5"/>
    <w:rsid w:val="006920FE"/>
    <w:rsid w:val="00693B64"/>
    <w:rsid w:val="006A26A1"/>
    <w:rsid w:val="006A77DC"/>
    <w:rsid w:val="006B028D"/>
    <w:rsid w:val="006B696A"/>
    <w:rsid w:val="006C7B50"/>
    <w:rsid w:val="006E3827"/>
    <w:rsid w:val="006E38F9"/>
    <w:rsid w:val="006E5FA9"/>
    <w:rsid w:val="006F02E8"/>
    <w:rsid w:val="006F236C"/>
    <w:rsid w:val="006F46B2"/>
    <w:rsid w:val="006F5CE9"/>
    <w:rsid w:val="00700357"/>
    <w:rsid w:val="00701456"/>
    <w:rsid w:val="00717BEC"/>
    <w:rsid w:val="007218FD"/>
    <w:rsid w:val="00727B5E"/>
    <w:rsid w:val="007313AA"/>
    <w:rsid w:val="00744D06"/>
    <w:rsid w:val="007466BE"/>
    <w:rsid w:val="00754711"/>
    <w:rsid w:val="007553A3"/>
    <w:rsid w:val="007674B3"/>
    <w:rsid w:val="007770A0"/>
    <w:rsid w:val="007A0E46"/>
    <w:rsid w:val="007A26A5"/>
    <w:rsid w:val="007A3F86"/>
    <w:rsid w:val="007A5068"/>
    <w:rsid w:val="007A7349"/>
    <w:rsid w:val="007B28DE"/>
    <w:rsid w:val="007B7B94"/>
    <w:rsid w:val="007C44EB"/>
    <w:rsid w:val="007D6B3E"/>
    <w:rsid w:val="007F50AA"/>
    <w:rsid w:val="0080266F"/>
    <w:rsid w:val="00802BA7"/>
    <w:rsid w:val="0081086B"/>
    <w:rsid w:val="0083542D"/>
    <w:rsid w:val="008412A7"/>
    <w:rsid w:val="008605BD"/>
    <w:rsid w:val="0086098A"/>
    <w:rsid w:val="00890BDB"/>
    <w:rsid w:val="008A3CC2"/>
    <w:rsid w:val="008B1303"/>
    <w:rsid w:val="008D004C"/>
    <w:rsid w:val="008D13B9"/>
    <w:rsid w:val="008F5758"/>
    <w:rsid w:val="008F730D"/>
    <w:rsid w:val="009105DB"/>
    <w:rsid w:val="00917386"/>
    <w:rsid w:val="00927DBD"/>
    <w:rsid w:val="00930397"/>
    <w:rsid w:val="00934247"/>
    <w:rsid w:val="00941A87"/>
    <w:rsid w:val="009606DF"/>
    <w:rsid w:val="0096268A"/>
    <w:rsid w:val="009748E1"/>
    <w:rsid w:val="0098730E"/>
    <w:rsid w:val="009A32BA"/>
    <w:rsid w:val="009A6C61"/>
    <w:rsid w:val="009B0751"/>
    <w:rsid w:val="009C0CF2"/>
    <w:rsid w:val="009C59C3"/>
    <w:rsid w:val="009D0B65"/>
    <w:rsid w:val="009D1BAD"/>
    <w:rsid w:val="009E205C"/>
    <w:rsid w:val="009E3392"/>
    <w:rsid w:val="00A00709"/>
    <w:rsid w:val="00A017D4"/>
    <w:rsid w:val="00A05B23"/>
    <w:rsid w:val="00A0748A"/>
    <w:rsid w:val="00A1183B"/>
    <w:rsid w:val="00A21C19"/>
    <w:rsid w:val="00A40690"/>
    <w:rsid w:val="00A40DCE"/>
    <w:rsid w:val="00A5450D"/>
    <w:rsid w:val="00A60382"/>
    <w:rsid w:val="00A6160F"/>
    <w:rsid w:val="00A665D8"/>
    <w:rsid w:val="00A804EF"/>
    <w:rsid w:val="00A829F2"/>
    <w:rsid w:val="00AB6AE7"/>
    <w:rsid w:val="00AC0AC8"/>
    <w:rsid w:val="00AC0D04"/>
    <w:rsid w:val="00AC594E"/>
    <w:rsid w:val="00AE5423"/>
    <w:rsid w:val="00AE655E"/>
    <w:rsid w:val="00AF0FD1"/>
    <w:rsid w:val="00AF3363"/>
    <w:rsid w:val="00AF6D92"/>
    <w:rsid w:val="00B1160A"/>
    <w:rsid w:val="00B1448E"/>
    <w:rsid w:val="00B16F80"/>
    <w:rsid w:val="00B248F3"/>
    <w:rsid w:val="00B33CEC"/>
    <w:rsid w:val="00B35E0E"/>
    <w:rsid w:val="00B41015"/>
    <w:rsid w:val="00B62760"/>
    <w:rsid w:val="00B715F6"/>
    <w:rsid w:val="00B74FFA"/>
    <w:rsid w:val="00B77A21"/>
    <w:rsid w:val="00B934D1"/>
    <w:rsid w:val="00B95A4A"/>
    <w:rsid w:val="00BA056D"/>
    <w:rsid w:val="00BA64B3"/>
    <w:rsid w:val="00BA7A30"/>
    <w:rsid w:val="00BB0F19"/>
    <w:rsid w:val="00BB5C53"/>
    <w:rsid w:val="00BE6E14"/>
    <w:rsid w:val="00BF3A1D"/>
    <w:rsid w:val="00BF512C"/>
    <w:rsid w:val="00C0009C"/>
    <w:rsid w:val="00C05499"/>
    <w:rsid w:val="00C24DBD"/>
    <w:rsid w:val="00C27A4C"/>
    <w:rsid w:val="00C439FE"/>
    <w:rsid w:val="00C44DCB"/>
    <w:rsid w:val="00C81F9A"/>
    <w:rsid w:val="00C9041C"/>
    <w:rsid w:val="00CA4E5D"/>
    <w:rsid w:val="00CA6BDD"/>
    <w:rsid w:val="00CA78B9"/>
    <w:rsid w:val="00CB5EB6"/>
    <w:rsid w:val="00CC2946"/>
    <w:rsid w:val="00CC3357"/>
    <w:rsid w:val="00CC5A07"/>
    <w:rsid w:val="00CD12B9"/>
    <w:rsid w:val="00CD69CF"/>
    <w:rsid w:val="00CE43F9"/>
    <w:rsid w:val="00CE7B12"/>
    <w:rsid w:val="00CF30AB"/>
    <w:rsid w:val="00CF5EF8"/>
    <w:rsid w:val="00D129FF"/>
    <w:rsid w:val="00D12DCC"/>
    <w:rsid w:val="00D15BB4"/>
    <w:rsid w:val="00D220B0"/>
    <w:rsid w:val="00D30497"/>
    <w:rsid w:val="00D36DA8"/>
    <w:rsid w:val="00D40917"/>
    <w:rsid w:val="00D5287B"/>
    <w:rsid w:val="00D54F46"/>
    <w:rsid w:val="00D61061"/>
    <w:rsid w:val="00D62DDA"/>
    <w:rsid w:val="00D6626C"/>
    <w:rsid w:val="00D70975"/>
    <w:rsid w:val="00D71186"/>
    <w:rsid w:val="00D77871"/>
    <w:rsid w:val="00D83858"/>
    <w:rsid w:val="00D84F7B"/>
    <w:rsid w:val="00D867A8"/>
    <w:rsid w:val="00D8714E"/>
    <w:rsid w:val="00D92C84"/>
    <w:rsid w:val="00D9545E"/>
    <w:rsid w:val="00DA53DB"/>
    <w:rsid w:val="00DB3929"/>
    <w:rsid w:val="00DB47A1"/>
    <w:rsid w:val="00DB7877"/>
    <w:rsid w:val="00DC7968"/>
    <w:rsid w:val="00DD3D8A"/>
    <w:rsid w:val="00DD6143"/>
    <w:rsid w:val="00DD7189"/>
    <w:rsid w:val="00DE2FF1"/>
    <w:rsid w:val="00DE654D"/>
    <w:rsid w:val="00DF25C7"/>
    <w:rsid w:val="00DF5F0D"/>
    <w:rsid w:val="00DF7F57"/>
    <w:rsid w:val="00E0017A"/>
    <w:rsid w:val="00E11927"/>
    <w:rsid w:val="00E2543C"/>
    <w:rsid w:val="00E40FBE"/>
    <w:rsid w:val="00E46D14"/>
    <w:rsid w:val="00E5472F"/>
    <w:rsid w:val="00E63305"/>
    <w:rsid w:val="00E636DF"/>
    <w:rsid w:val="00E65D29"/>
    <w:rsid w:val="00E661D6"/>
    <w:rsid w:val="00E757F0"/>
    <w:rsid w:val="00E858CC"/>
    <w:rsid w:val="00E85C56"/>
    <w:rsid w:val="00E938BA"/>
    <w:rsid w:val="00E9443B"/>
    <w:rsid w:val="00E95A48"/>
    <w:rsid w:val="00E96EFA"/>
    <w:rsid w:val="00EA244A"/>
    <w:rsid w:val="00EA7454"/>
    <w:rsid w:val="00EB3000"/>
    <w:rsid w:val="00EB4B5A"/>
    <w:rsid w:val="00EB5400"/>
    <w:rsid w:val="00EC00BE"/>
    <w:rsid w:val="00ED3A02"/>
    <w:rsid w:val="00EF1A60"/>
    <w:rsid w:val="00EF52D3"/>
    <w:rsid w:val="00EF70F1"/>
    <w:rsid w:val="00EF7557"/>
    <w:rsid w:val="00F15504"/>
    <w:rsid w:val="00F1594B"/>
    <w:rsid w:val="00F2106B"/>
    <w:rsid w:val="00F235D7"/>
    <w:rsid w:val="00F32349"/>
    <w:rsid w:val="00F40635"/>
    <w:rsid w:val="00F50139"/>
    <w:rsid w:val="00F5035D"/>
    <w:rsid w:val="00F568E8"/>
    <w:rsid w:val="00F57D2B"/>
    <w:rsid w:val="00F70812"/>
    <w:rsid w:val="00F80B7B"/>
    <w:rsid w:val="00F860D5"/>
    <w:rsid w:val="00F93317"/>
    <w:rsid w:val="00F957AC"/>
    <w:rsid w:val="00FA1EBE"/>
    <w:rsid w:val="00FA4124"/>
    <w:rsid w:val="00FC1E70"/>
    <w:rsid w:val="00FE3C27"/>
    <w:rsid w:val="00FE5C63"/>
    <w:rsid w:val="00FF3F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1D00"/>
  <w15:chartTrackingRefBased/>
  <w15:docId w15:val="{AF672C50-F5B6-498C-B4C5-59A01420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48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29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99"/>
    <w:pPr>
      <w:ind w:left="720"/>
      <w:contextualSpacing/>
    </w:pPr>
  </w:style>
  <w:style w:type="character" w:customStyle="1" w:styleId="Heading2Char">
    <w:name w:val="Heading 2 Char"/>
    <w:basedOn w:val="DefaultParagraphFont"/>
    <w:link w:val="Heading2"/>
    <w:uiPriority w:val="9"/>
    <w:rsid w:val="00B248F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185E"/>
    <w:rPr>
      <w:color w:val="0000FF"/>
      <w:u w:val="single"/>
    </w:rPr>
  </w:style>
  <w:style w:type="character" w:styleId="UnresolvedMention">
    <w:name w:val="Unresolved Mention"/>
    <w:basedOn w:val="DefaultParagraphFont"/>
    <w:uiPriority w:val="99"/>
    <w:semiHidden/>
    <w:unhideWhenUsed/>
    <w:rsid w:val="0049185E"/>
    <w:rPr>
      <w:color w:val="605E5C"/>
      <w:shd w:val="clear" w:color="auto" w:fill="E1DFDD"/>
    </w:rPr>
  </w:style>
  <w:style w:type="paragraph" w:styleId="FootnoteText">
    <w:name w:val="footnote text"/>
    <w:basedOn w:val="Normal"/>
    <w:link w:val="FootnoteTextChar"/>
    <w:uiPriority w:val="99"/>
    <w:semiHidden/>
    <w:unhideWhenUsed/>
    <w:rsid w:val="00491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85E"/>
    <w:rPr>
      <w:sz w:val="20"/>
      <w:szCs w:val="20"/>
    </w:rPr>
  </w:style>
  <w:style w:type="character" w:styleId="FootnoteReference">
    <w:name w:val="footnote reference"/>
    <w:basedOn w:val="DefaultParagraphFont"/>
    <w:uiPriority w:val="99"/>
    <w:semiHidden/>
    <w:unhideWhenUsed/>
    <w:rsid w:val="0049185E"/>
    <w:rPr>
      <w:vertAlign w:val="superscript"/>
    </w:rPr>
  </w:style>
  <w:style w:type="character" w:customStyle="1" w:styleId="Heading1Char">
    <w:name w:val="Heading 1 Char"/>
    <w:basedOn w:val="DefaultParagraphFont"/>
    <w:link w:val="Heading1"/>
    <w:uiPriority w:val="9"/>
    <w:rsid w:val="00AB6AE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829F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90B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0B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071B"/>
    <w:rPr>
      <w:sz w:val="16"/>
      <w:szCs w:val="16"/>
    </w:rPr>
  </w:style>
  <w:style w:type="paragraph" w:styleId="CommentText">
    <w:name w:val="annotation text"/>
    <w:basedOn w:val="Normal"/>
    <w:link w:val="CommentTextChar"/>
    <w:uiPriority w:val="99"/>
    <w:semiHidden/>
    <w:unhideWhenUsed/>
    <w:rsid w:val="0047071B"/>
    <w:pPr>
      <w:spacing w:line="240" w:lineRule="auto"/>
    </w:pPr>
    <w:rPr>
      <w:sz w:val="20"/>
      <w:szCs w:val="20"/>
    </w:rPr>
  </w:style>
  <w:style w:type="character" w:customStyle="1" w:styleId="CommentTextChar">
    <w:name w:val="Comment Text Char"/>
    <w:basedOn w:val="DefaultParagraphFont"/>
    <w:link w:val="CommentText"/>
    <w:uiPriority w:val="99"/>
    <w:semiHidden/>
    <w:rsid w:val="0047071B"/>
    <w:rPr>
      <w:sz w:val="20"/>
      <w:szCs w:val="20"/>
    </w:rPr>
  </w:style>
  <w:style w:type="paragraph" w:styleId="CommentSubject">
    <w:name w:val="annotation subject"/>
    <w:basedOn w:val="CommentText"/>
    <w:next w:val="CommentText"/>
    <w:link w:val="CommentSubjectChar"/>
    <w:uiPriority w:val="99"/>
    <w:semiHidden/>
    <w:unhideWhenUsed/>
    <w:rsid w:val="0047071B"/>
    <w:rPr>
      <w:b/>
      <w:bCs/>
    </w:rPr>
  </w:style>
  <w:style w:type="character" w:customStyle="1" w:styleId="CommentSubjectChar">
    <w:name w:val="Comment Subject Char"/>
    <w:basedOn w:val="CommentTextChar"/>
    <w:link w:val="CommentSubject"/>
    <w:uiPriority w:val="99"/>
    <w:semiHidden/>
    <w:rsid w:val="0047071B"/>
    <w:rPr>
      <w:b/>
      <w:bCs/>
      <w:sz w:val="20"/>
      <w:szCs w:val="20"/>
    </w:rPr>
  </w:style>
  <w:style w:type="paragraph" w:styleId="Footer">
    <w:name w:val="footer"/>
    <w:basedOn w:val="Normal"/>
    <w:link w:val="FooterChar"/>
    <w:uiPriority w:val="99"/>
    <w:unhideWhenUsed/>
    <w:rsid w:val="00F56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E8"/>
  </w:style>
  <w:style w:type="character" w:styleId="PageNumber">
    <w:name w:val="page number"/>
    <w:basedOn w:val="DefaultParagraphFont"/>
    <w:uiPriority w:val="99"/>
    <w:semiHidden/>
    <w:unhideWhenUsed/>
    <w:rsid w:val="00F568E8"/>
  </w:style>
  <w:style w:type="paragraph" w:styleId="Revision">
    <w:name w:val="Revision"/>
    <w:hidden/>
    <w:uiPriority w:val="99"/>
    <w:semiHidden/>
    <w:rsid w:val="00DA53DB"/>
    <w:pPr>
      <w:spacing w:after="0" w:line="240" w:lineRule="auto"/>
    </w:pPr>
  </w:style>
  <w:style w:type="paragraph" w:styleId="Header">
    <w:name w:val="header"/>
    <w:basedOn w:val="Normal"/>
    <w:link w:val="HeaderChar"/>
    <w:uiPriority w:val="99"/>
    <w:unhideWhenUsed/>
    <w:rsid w:val="00DF7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2398">
      <w:bodyDiv w:val="1"/>
      <w:marLeft w:val="0"/>
      <w:marRight w:val="0"/>
      <w:marTop w:val="0"/>
      <w:marBottom w:val="0"/>
      <w:divBdr>
        <w:top w:val="none" w:sz="0" w:space="0" w:color="auto"/>
        <w:left w:val="none" w:sz="0" w:space="0" w:color="auto"/>
        <w:bottom w:val="none" w:sz="0" w:space="0" w:color="auto"/>
        <w:right w:val="none" w:sz="0" w:space="0" w:color="auto"/>
      </w:divBdr>
      <w:divsChild>
        <w:div w:id="536740573">
          <w:marLeft w:val="547"/>
          <w:marRight w:val="0"/>
          <w:marTop w:val="106"/>
          <w:marBottom w:val="0"/>
          <w:divBdr>
            <w:top w:val="none" w:sz="0" w:space="0" w:color="auto"/>
            <w:left w:val="none" w:sz="0" w:space="0" w:color="auto"/>
            <w:bottom w:val="none" w:sz="0" w:space="0" w:color="auto"/>
            <w:right w:val="none" w:sz="0" w:space="0" w:color="auto"/>
          </w:divBdr>
        </w:div>
        <w:div w:id="1597667345">
          <w:marLeft w:val="547"/>
          <w:marRight w:val="0"/>
          <w:marTop w:val="106"/>
          <w:marBottom w:val="0"/>
          <w:divBdr>
            <w:top w:val="none" w:sz="0" w:space="0" w:color="auto"/>
            <w:left w:val="none" w:sz="0" w:space="0" w:color="auto"/>
            <w:bottom w:val="none" w:sz="0" w:space="0" w:color="auto"/>
            <w:right w:val="none" w:sz="0" w:space="0" w:color="auto"/>
          </w:divBdr>
        </w:div>
        <w:div w:id="1338116465">
          <w:marLeft w:val="547"/>
          <w:marRight w:val="0"/>
          <w:marTop w:val="106"/>
          <w:marBottom w:val="0"/>
          <w:divBdr>
            <w:top w:val="none" w:sz="0" w:space="0" w:color="auto"/>
            <w:left w:val="none" w:sz="0" w:space="0" w:color="auto"/>
            <w:bottom w:val="none" w:sz="0" w:space="0" w:color="auto"/>
            <w:right w:val="none" w:sz="0" w:space="0" w:color="auto"/>
          </w:divBdr>
        </w:div>
        <w:div w:id="220210792">
          <w:marLeft w:val="547"/>
          <w:marRight w:val="0"/>
          <w:marTop w:val="106"/>
          <w:marBottom w:val="0"/>
          <w:divBdr>
            <w:top w:val="none" w:sz="0" w:space="0" w:color="auto"/>
            <w:left w:val="none" w:sz="0" w:space="0" w:color="auto"/>
            <w:bottom w:val="none" w:sz="0" w:space="0" w:color="auto"/>
            <w:right w:val="none" w:sz="0" w:space="0" w:color="auto"/>
          </w:divBdr>
        </w:div>
        <w:div w:id="1488781980">
          <w:marLeft w:val="547"/>
          <w:marRight w:val="0"/>
          <w:marTop w:val="106"/>
          <w:marBottom w:val="0"/>
          <w:divBdr>
            <w:top w:val="none" w:sz="0" w:space="0" w:color="auto"/>
            <w:left w:val="none" w:sz="0" w:space="0" w:color="auto"/>
            <w:bottom w:val="none" w:sz="0" w:space="0" w:color="auto"/>
            <w:right w:val="none" w:sz="0" w:space="0" w:color="auto"/>
          </w:divBdr>
        </w:div>
        <w:div w:id="2049455146">
          <w:marLeft w:val="1008"/>
          <w:marRight w:val="0"/>
          <w:marTop w:val="96"/>
          <w:marBottom w:val="0"/>
          <w:divBdr>
            <w:top w:val="none" w:sz="0" w:space="0" w:color="auto"/>
            <w:left w:val="none" w:sz="0" w:space="0" w:color="auto"/>
            <w:bottom w:val="none" w:sz="0" w:space="0" w:color="auto"/>
            <w:right w:val="none" w:sz="0" w:space="0" w:color="auto"/>
          </w:divBdr>
        </w:div>
        <w:div w:id="1415008776">
          <w:marLeft w:val="547"/>
          <w:marRight w:val="0"/>
          <w:marTop w:val="106"/>
          <w:marBottom w:val="0"/>
          <w:divBdr>
            <w:top w:val="none" w:sz="0" w:space="0" w:color="auto"/>
            <w:left w:val="none" w:sz="0" w:space="0" w:color="auto"/>
            <w:bottom w:val="none" w:sz="0" w:space="0" w:color="auto"/>
            <w:right w:val="none" w:sz="0" w:space="0" w:color="auto"/>
          </w:divBdr>
        </w:div>
      </w:divsChild>
    </w:div>
    <w:div w:id="272859022">
      <w:bodyDiv w:val="1"/>
      <w:marLeft w:val="0"/>
      <w:marRight w:val="0"/>
      <w:marTop w:val="0"/>
      <w:marBottom w:val="0"/>
      <w:divBdr>
        <w:top w:val="none" w:sz="0" w:space="0" w:color="auto"/>
        <w:left w:val="none" w:sz="0" w:space="0" w:color="auto"/>
        <w:bottom w:val="none" w:sz="0" w:space="0" w:color="auto"/>
        <w:right w:val="none" w:sz="0" w:space="0" w:color="auto"/>
      </w:divBdr>
    </w:div>
    <w:div w:id="2103212535">
      <w:bodyDiv w:val="1"/>
      <w:marLeft w:val="0"/>
      <w:marRight w:val="0"/>
      <w:marTop w:val="0"/>
      <w:marBottom w:val="0"/>
      <w:divBdr>
        <w:top w:val="none" w:sz="0" w:space="0" w:color="auto"/>
        <w:left w:val="none" w:sz="0" w:space="0" w:color="auto"/>
        <w:bottom w:val="none" w:sz="0" w:space="0" w:color="auto"/>
        <w:right w:val="none" w:sz="0" w:space="0" w:color="auto"/>
      </w:divBdr>
    </w:div>
    <w:div w:id="21037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examiner.com/news/arid-3094696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law_and_government/Moign-Khawaja-School-of-Law-and-Government.shtml"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ie/ge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d.ie/economics/" TargetMode="External"/><Relationship Id="rId4" Type="http://schemas.openxmlformats.org/officeDocument/2006/relationships/settings" Target="settings.xml"/><Relationship Id="rId9" Type="http://schemas.openxmlformats.org/officeDocument/2006/relationships/hyperlink" Target="https://www.irishexaminer.com/news/arid-30920913.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mmigrantcouncil.ie/sites/default/files/2020-01/2020HLWGInterimReportSOA2017ByGeoffreyShann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DD23-B433-4708-9403-E9B581A7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3278</Words>
  <Characters>18691</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Submission to the Department of Justice’s Review of Part 4 of the Sexual Offence</vt:lpstr>
      <vt:lpstr>    Introduction </vt:lpstr>
      <vt:lpstr>    A Harm Reduction Approach </vt:lpstr>
      <vt:lpstr>    The Criminalisation of Sex Work in Ireland</vt:lpstr>
      <vt:lpstr>    Part 4 of the Criminal Law (Sexual Offences) Act 2017 </vt:lpstr>
      <vt:lpstr>    Policing and Harm Reduction</vt:lpstr>
      <vt:lpstr>    Alternative Approaches</vt:lpstr>
      <vt:lpstr>    Conclusion</vt:lpstr>
    </vt:vector>
  </TitlesOfParts>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conway</dc:creator>
  <cp:keywords/>
  <dc:description/>
  <cp:lastModifiedBy>vicky conway</cp:lastModifiedBy>
  <cp:revision>39</cp:revision>
  <dcterms:created xsi:type="dcterms:W3CDTF">2020-09-08T16:50:00Z</dcterms:created>
  <dcterms:modified xsi:type="dcterms:W3CDTF">2020-09-10T12:16:00Z</dcterms:modified>
</cp:coreProperties>
</file>